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CD233" w14:textId="7EFA1B19" w:rsidR="47BD319E" w:rsidRPr="00241BF6" w:rsidRDefault="47BD319E" w:rsidP="00241BF6">
      <w:pPr>
        <w:pStyle w:val="Heading1"/>
      </w:pPr>
      <w:r w:rsidRPr="00241BF6">
        <w:t xml:space="preserve">Lost in Translation: </w:t>
      </w:r>
      <w:r w:rsidRPr="00241BF6">
        <w:br/>
      </w:r>
      <w:r w:rsidR="001F6C97" w:rsidRPr="00241BF6">
        <w:t>Inclusive D</w:t>
      </w:r>
      <w:r w:rsidRPr="00241BF6">
        <w:t>esign Approaches to Implement Digital Accessibility Initiatives</w:t>
      </w:r>
      <w:r w:rsidR="00655826" w:rsidRPr="00241BF6">
        <w:br/>
      </w:r>
    </w:p>
    <w:p w14:paraId="7BC8D194" w14:textId="6D30F758" w:rsidR="00106412" w:rsidRPr="00D13B67" w:rsidRDefault="166F3A2C" w:rsidP="58146045">
      <w:pPr>
        <w:jc w:val="center"/>
      </w:pPr>
      <w:r w:rsidRPr="00D13B67">
        <w:rPr>
          <w:rFonts w:eastAsia="Aptos"/>
        </w:rPr>
        <w:t>by</w:t>
      </w:r>
    </w:p>
    <w:p w14:paraId="621D1FE9" w14:textId="77777777" w:rsidR="00106412" w:rsidRPr="00D13B67" w:rsidRDefault="166F3A2C" w:rsidP="58146045">
      <w:pPr>
        <w:jc w:val="center"/>
        <w:rPr>
          <w:rFonts w:eastAsia="Aptos"/>
        </w:rPr>
      </w:pPr>
      <w:r w:rsidRPr="00D13B67">
        <w:rPr>
          <w:rFonts w:eastAsia="Aptos"/>
        </w:rPr>
        <w:t>Luke McKnight</w:t>
      </w:r>
    </w:p>
    <w:p w14:paraId="7405318E" w14:textId="77777777" w:rsidR="00744365" w:rsidRPr="00D13B67" w:rsidRDefault="00744365" w:rsidP="00744365">
      <w:pPr>
        <w:jc w:val="center"/>
      </w:pPr>
    </w:p>
    <w:p w14:paraId="09273E08" w14:textId="4ECA3420" w:rsidR="00106412" w:rsidRPr="00D13B67" w:rsidRDefault="166F3A2C" w:rsidP="58146045">
      <w:pPr>
        <w:jc w:val="center"/>
        <w:rPr>
          <w:rFonts w:eastAsia="Aptos"/>
          <w:lang w:eastAsia="ja-JP"/>
        </w:rPr>
      </w:pPr>
      <w:r w:rsidRPr="00D13B67">
        <w:rPr>
          <w:rFonts w:eastAsia="Aptos"/>
          <w:lang w:eastAsia="ja-JP"/>
        </w:rPr>
        <w:t>Submitted to OCAD University in partial fulfillment of the requirements for the degree of Master of Design in Inclusive Design</w:t>
      </w:r>
    </w:p>
    <w:p w14:paraId="40C9FE3F" w14:textId="77777777" w:rsidR="00106412" w:rsidRPr="00D13B67" w:rsidRDefault="166F3A2C" w:rsidP="58146045">
      <w:pPr>
        <w:jc w:val="center"/>
      </w:pPr>
      <w:r w:rsidRPr="00D13B67">
        <w:rPr>
          <w:rFonts w:eastAsia="Aptos"/>
        </w:rPr>
        <w:t>Toronto, Ontario, Canada, 2026</w:t>
      </w:r>
    </w:p>
    <w:p w14:paraId="202B99B8" w14:textId="77777777" w:rsidR="61D36089" w:rsidRPr="00D13B67" w:rsidRDefault="61D36089">
      <w:r w:rsidRPr="00D13B67">
        <w:br w:type="page"/>
      </w:r>
    </w:p>
    <w:p w14:paraId="43B4F1B9" w14:textId="77777777" w:rsidR="48A98584" w:rsidRPr="00D13B67" w:rsidRDefault="48A98584" w:rsidP="23975D93">
      <w:pPr>
        <w:pStyle w:val="Heading2"/>
      </w:pPr>
      <w:bookmarkStart w:id="0" w:name="_Toc228867955"/>
      <w:r w:rsidRPr="00D13B67">
        <w:lastRenderedPageBreak/>
        <w:t>Creative Commons Copyright Notice</w:t>
      </w:r>
      <w:bookmarkEnd w:id="0"/>
    </w:p>
    <w:p w14:paraId="0FAA23CC" w14:textId="77777777" w:rsidR="48A98584" w:rsidRPr="00D13B67" w:rsidRDefault="48A98584" w:rsidP="00F149EA">
      <w:pPr>
        <w:spacing w:line="360" w:lineRule="auto"/>
        <w:rPr>
          <w:b/>
          <w:bCs/>
        </w:rPr>
      </w:pPr>
      <w:r w:rsidRPr="00D13B67">
        <w:rPr>
          <w:rFonts w:eastAsia="Aptos"/>
          <w:b/>
          <w:bCs/>
        </w:rPr>
        <w:t xml:space="preserve">Copyright Notice </w:t>
      </w:r>
    </w:p>
    <w:p w14:paraId="0D2BF791" w14:textId="77777777" w:rsidR="48A98584" w:rsidRPr="00D13B67" w:rsidRDefault="48A98584" w:rsidP="00DB2EC1">
      <w:pPr>
        <w:spacing w:line="360" w:lineRule="auto"/>
        <w:rPr>
          <w:rFonts w:eastAsia="Aptos"/>
        </w:rPr>
      </w:pPr>
      <w:r w:rsidRPr="00D13B67">
        <w:rPr>
          <w:rFonts w:eastAsia="Aptos"/>
        </w:rPr>
        <w:t xml:space="preserve">This document is licensed under the </w:t>
      </w:r>
      <w:hyperlink r:id="rId8">
        <w:r w:rsidRPr="00D13B67">
          <w:rPr>
            <w:rStyle w:val="Hyperlink"/>
            <w:rFonts w:ascii="Aptos" w:eastAsia="Aptos" w:hAnsi="Aptos" w:cs="Aptos"/>
          </w:rPr>
          <w:t xml:space="preserve">Creative Commons </w:t>
        </w:r>
        <w:r w:rsidR="767F267A" w:rsidRPr="00D13B67">
          <w:rPr>
            <w:rStyle w:val="Hyperlink"/>
            <w:rFonts w:ascii="Aptos" w:eastAsia="Aptos" w:hAnsi="Aptos" w:cs="Aptos"/>
          </w:rPr>
          <w:t>Attribution-</w:t>
        </w:r>
        <w:proofErr w:type="spellStart"/>
        <w:r w:rsidR="767F267A" w:rsidRPr="00D13B67">
          <w:rPr>
            <w:rStyle w:val="Hyperlink"/>
            <w:rFonts w:ascii="Aptos" w:eastAsia="Aptos" w:hAnsi="Aptos" w:cs="Aptos"/>
          </w:rPr>
          <w:t>NonCommercial</w:t>
        </w:r>
        <w:proofErr w:type="spellEnd"/>
        <w:r w:rsidR="767F267A" w:rsidRPr="00D13B67">
          <w:rPr>
            <w:rStyle w:val="Hyperlink"/>
            <w:rFonts w:ascii="Aptos" w:eastAsia="Aptos" w:hAnsi="Aptos" w:cs="Aptos"/>
          </w:rPr>
          <w:t>-</w:t>
        </w:r>
        <w:proofErr w:type="spellStart"/>
        <w:r w:rsidR="767F267A" w:rsidRPr="00D13B67">
          <w:rPr>
            <w:rStyle w:val="Hyperlink"/>
            <w:rFonts w:ascii="Aptos" w:eastAsia="Aptos" w:hAnsi="Aptos" w:cs="Aptos"/>
          </w:rPr>
          <w:t>ShareAlike</w:t>
        </w:r>
        <w:proofErr w:type="spellEnd"/>
        <w:r w:rsidR="767F267A" w:rsidRPr="00D13B67">
          <w:rPr>
            <w:rStyle w:val="Hyperlink"/>
            <w:rFonts w:ascii="Aptos" w:eastAsia="Aptos" w:hAnsi="Aptos" w:cs="Aptos"/>
          </w:rPr>
          <w:t xml:space="preserve"> 4.0 International.</w:t>
        </w:r>
      </w:hyperlink>
    </w:p>
    <w:p w14:paraId="6AC540D4" w14:textId="77777777" w:rsidR="48A98584" w:rsidRPr="00D13B67" w:rsidRDefault="48A98584" w:rsidP="00DB2EC1">
      <w:pPr>
        <w:spacing w:line="360" w:lineRule="auto"/>
        <w:rPr>
          <w:b/>
          <w:bCs/>
        </w:rPr>
      </w:pPr>
      <w:r w:rsidRPr="00D13B67">
        <w:rPr>
          <w:rFonts w:eastAsia="Aptos"/>
          <w:b/>
          <w:bCs/>
        </w:rPr>
        <w:t xml:space="preserve">You are free to: </w:t>
      </w:r>
    </w:p>
    <w:p w14:paraId="2C54E5F9" w14:textId="77777777" w:rsidR="1F65E5FF" w:rsidRPr="00D13B67" w:rsidRDefault="1F65E5FF" w:rsidP="00DB2EC1">
      <w:pPr>
        <w:spacing w:line="360" w:lineRule="auto"/>
      </w:pPr>
      <w:r w:rsidRPr="00D13B67">
        <w:rPr>
          <w:rFonts w:eastAsia="Aptos"/>
        </w:rPr>
        <w:t>Share — copy and redistribute the material in any medium or format</w:t>
      </w:r>
    </w:p>
    <w:p w14:paraId="50075CF2" w14:textId="77777777" w:rsidR="1F65E5FF" w:rsidRPr="00D13B67" w:rsidRDefault="1F65E5FF" w:rsidP="00DB2EC1">
      <w:pPr>
        <w:spacing w:line="360" w:lineRule="auto"/>
      </w:pPr>
      <w:r w:rsidRPr="00D13B67">
        <w:rPr>
          <w:rFonts w:eastAsia="Aptos"/>
        </w:rPr>
        <w:t>Adapt — remix, transform, and build upon the material</w:t>
      </w:r>
    </w:p>
    <w:p w14:paraId="45858170" w14:textId="77777777" w:rsidR="1F65E5FF" w:rsidRPr="00D13B67" w:rsidRDefault="1F65E5FF" w:rsidP="00DB2EC1">
      <w:pPr>
        <w:spacing w:line="360" w:lineRule="auto"/>
        <w:rPr>
          <w:rFonts w:eastAsia="Aptos"/>
        </w:rPr>
      </w:pPr>
      <w:r w:rsidRPr="00D13B67">
        <w:rPr>
          <w:rFonts w:eastAsia="Aptos"/>
        </w:rPr>
        <w:t xml:space="preserve">The licensor cannot revoke these freedoms </w:t>
      </w:r>
      <w:proofErr w:type="gramStart"/>
      <w:r w:rsidRPr="00D13B67">
        <w:rPr>
          <w:rFonts w:eastAsia="Aptos"/>
        </w:rPr>
        <w:t>as long as</w:t>
      </w:r>
      <w:proofErr w:type="gramEnd"/>
      <w:r w:rsidRPr="00D13B67">
        <w:rPr>
          <w:rFonts w:eastAsia="Aptos"/>
        </w:rPr>
        <w:t xml:space="preserve"> you follow the license terms.</w:t>
      </w:r>
    </w:p>
    <w:p w14:paraId="2DC37124" w14:textId="77777777" w:rsidR="48A98584" w:rsidRPr="00D13B67" w:rsidRDefault="48A98584" w:rsidP="00DB2EC1">
      <w:pPr>
        <w:spacing w:line="360" w:lineRule="auto"/>
        <w:rPr>
          <w:b/>
          <w:bCs/>
        </w:rPr>
      </w:pPr>
      <w:r w:rsidRPr="00D13B67">
        <w:rPr>
          <w:rFonts w:eastAsia="Aptos"/>
          <w:b/>
          <w:bCs/>
        </w:rPr>
        <w:t xml:space="preserve">Under the following conditions: </w:t>
      </w:r>
    </w:p>
    <w:p w14:paraId="3DD8488C" w14:textId="77777777" w:rsidR="50029B3C" w:rsidRPr="00D13B67" w:rsidRDefault="50029B3C" w:rsidP="00DB2EC1">
      <w:pPr>
        <w:spacing w:line="360" w:lineRule="auto"/>
      </w:pPr>
      <w:r w:rsidRPr="00D13B67">
        <w:rPr>
          <w:rFonts w:eastAsia="Aptos"/>
        </w:rPr>
        <w:t>Attribution — You must give appropriate credit, provide a link to the license, and indicate if changes were made. You may do so in any reasonable manner, but not in any way that suggests the licensor endorses you or your use.</w:t>
      </w:r>
    </w:p>
    <w:p w14:paraId="2D63EDDD" w14:textId="77777777" w:rsidR="50029B3C" w:rsidRPr="00D13B67" w:rsidRDefault="50029B3C" w:rsidP="00DB2EC1">
      <w:pPr>
        <w:spacing w:line="360" w:lineRule="auto"/>
      </w:pPr>
      <w:proofErr w:type="spellStart"/>
      <w:r w:rsidRPr="00D13B67">
        <w:rPr>
          <w:rFonts w:eastAsia="Aptos"/>
        </w:rPr>
        <w:t>NonCommercial</w:t>
      </w:r>
      <w:proofErr w:type="spellEnd"/>
      <w:r w:rsidRPr="00D13B67">
        <w:rPr>
          <w:rFonts w:eastAsia="Aptos"/>
        </w:rPr>
        <w:t xml:space="preserve"> — You may not use the material for commercial purposes.</w:t>
      </w:r>
    </w:p>
    <w:p w14:paraId="6DA90A4E" w14:textId="77777777" w:rsidR="50029B3C" w:rsidRPr="00D13B67" w:rsidRDefault="50029B3C" w:rsidP="00DB2EC1">
      <w:pPr>
        <w:spacing w:line="360" w:lineRule="auto"/>
      </w:pPr>
      <w:proofErr w:type="spellStart"/>
      <w:r w:rsidRPr="00D13B67">
        <w:rPr>
          <w:rFonts w:eastAsia="Aptos"/>
        </w:rPr>
        <w:t>ShareAlike</w:t>
      </w:r>
      <w:proofErr w:type="spellEnd"/>
      <w:r w:rsidRPr="00D13B67">
        <w:rPr>
          <w:rFonts w:eastAsia="Aptos"/>
        </w:rPr>
        <w:t xml:space="preserve"> — If you remix, transform, or build upon the material, you must distribute your contributions under the same license as the original.</w:t>
      </w:r>
    </w:p>
    <w:p w14:paraId="08FD3612" w14:textId="77777777" w:rsidR="48A98584" w:rsidRPr="00D13B67" w:rsidRDefault="48A98584" w:rsidP="00DB2EC1">
      <w:pPr>
        <w:spacing w:line="360" w:lineRule="auto"/>
        <w:rPr>
          <w:b/>
          <w:bCs/>
        </w:rPr>
      </w:pPr>
      <w:r w:rsidRPr="00D13B67">
        <w:rPr>
          <w:rFonts w:eastAsia="Aptos"/>
          <w:b/>
          <w:bCs/>
        </w:rPr>
        <w:t xml:space="preserve">With the understanding that: </w:t>
      </w:r>
    </w:p>
    <w:p w14:paraId="750FFB05" w14:textId="77777777" w:rsidR="18A7C112" w:rsidRPr="00D13B67" w:rsidRDefault="18A7C112" w:rsidP="00DB2EC1">
      <w:pPr>
        <w:spacing w:line="360" w:lineRule="auto"/>
      </w:pPr>
      <w:r w:rsidRPr="00D13B67">
        <w:rPr>
          <w:rFonts w:eastAsia="Aptos"/>
        </w:rPr>
        <w:t>No additional restrictions — You may not apply legal terms or technological measures that legally restrict others from doing anything the license permits.</w:t>
      </w:r>
    </w:p>
    <w:p w14:paraId="011DEEA6" w14:textId="77777777" w:rsidR="61D36089" w:rsidRPr="00D13B67" w:rsidRDefault="61D36089">
      <w:r w:rsidRPr="00D13B67">
        <w:br w:type="page"/>
      </w:r>
    </w:p>
    <w:p w14:paraId="74590522" w14:textId="77777777" w:rsidR="4059D6CC" w:rsidRPr="00D13B67" w:rsidRDefault="4059D6CC" w:rsidP="61D36089">
      <w:pPr>
        <w:pStyle w:val="Heading2"/>
      </w:pPr>
      <w:bookmarkStart w:id="1" w:name="_Toc228867956"/>
      <w:r w:rsidRPr="00D13B67">
        <w:lastRenderedPageBreak/>
        <w:t>Abstract</w:t>
      </w:r>
      <w:bookmarkEnd w:id="1"/>
    </w:p>
    <w:p w14:paraId="57482A65" w14:textId="7E4BFCD0" w:rsidR="00EE65E6" w:rsidRPr="00D13B67" w:rsidRDefault="00445854" w:rsidP="00EE65E6">
      <w:r w:rsidRPr="00D13B67">
        <w:t xml:space="preserve">Accessibility legislation has </w:t>
      </w:r>
      <w:r w:rsidR="0028124D" w:rsidRPr="00D13B67">
        <w:t>been ineffective</w:t>
      </w:r>
      <w:r w:rsidR="001C2903" w:rsidRPr="00D13B67">
        <w:t xml:space="preserve"> at improving</w:t>
      </w:r>
      <w:r w:rsidRPr="00D13B67">
        <w:t xml:space="preserve"> the accessibility of digital learning materials in post-secondary.</w:t>
      </w:r>
      <w:r w:rsidR="00C24860" w:rsidRPr="00D13B67">
        <w:t xml:space="preserve"> T</w:t>
      </w:r>
      <w:r w:rsidRPr="00D13B67">
        <w:t xml:space="preserve">hrough a </w:t>
      </w:r>
      <w:r w:rsidR="00D74757" w:rsidRPr="00D13B67">
        <w:t>collection of</w:t>
      </w:r>
      <w:r w:rsidRPr="00D13B67">
        <w:t xml:space="preserve"> disabled student</w:t>
      </w:r>
      <w:r w:rsidR="00EF2AFD" w:rsidRPr="00D13B67">
        <w:t>s’</w:t>
      </w:r>
      <w:r w:rsidRPr="00D13B67">
        <w:t xml:space="preserve"> </w:t>
      </w:r>
      <w:r w:rsidR="00EF2AFD" w:rsidRPr="00D13B67">
        <w:t>experiences</w:t>
      </w:r>
      <w:r w:rsidR="006F239C" w:rsidRPr="00D13B67">
        <w:t xml:space="preserve"> at a Canadian college</w:t>
      </w:r>
      <w:r w:rsidRPr="00D13B67">
        <w:t xml:space="preserve">, this project seeks to understand if the empathy of post-secondary employees is a </w:t>
      </w:r>
      <w:r w:rsidR="00B64587" w:rsidRPr="00D13B67">
        <w:t>significant motivat</w:t>
      </w:r>
      <w:r w:rsidR="00EF2AFD" w:rsidRPr="00D13B67">
        <w:t>ing factor</w:t>
      </w:r>
      <w:r w:rsidR="00B64587" w:rsidRPr="00D13B67">
        <w:t xml:space="preserve"> in creating and choosing more accessible digital learning material. </w:t>
      </w:r>
      <w:r w:rsidR="00C24860" w:rsidRPr="00D13B67">
        <w:t xml:space="preserve">In phase 1, disabled students </w:t>
      </w:r>
      <w:r w:rsidR="00D11F93" w:rsidRPr="00D13B67">
        <w:t>(</w:t>
      </w:r>
      <w:r w:rsidR="000E7478" w:rsidRPr="00D13B67">
        <w:rPr>
          <w:i/>
          <w:iCs/>
        </w:rPr>
        <w:t>n</w:t>
      </w:r>
      <w:r w:rsidR="000E7478" w:rsidRPr="00D13B67">
        <w:t xml:space="preserve"> = </w:t>
      </w:r>
      <w:r w:rsidR="00A55EA9" w:rsidRPr="00D13B67">
        <w:t xml:space="preserve">5) </w:t>
      </w:r>
      <w:r w:rsidR="00C24860" w:rsidRPr="00D13B67">
        <w:t xml:space="preserve">co-designed </w:t>
      </w:r>
      <w:r w:rsidR="006A2A1D" w:rsidRPr="00D13B67">
        <w:t xml:space="preserve">a resource </w:t>
      </w:r>
      <w:r w:rsidR="0006281D" w:rsidRPr="00D13B67">
        <w:t>documenting</w:t>
      </w:r>
      <w:r w:rsidR="006A2A1D" w:rsidRPr="00D13B67">
        <w:t xml:space="preserve"> their experiences with inaccessible content and how it impacted their learning. In phase 2, post-secondary employees</w:t>
      </w:r>
      <w:r w:rsidR="000E7478" w:rsidRPr="00D13B67">
        <w:t xml:space="preserve"> (</w:t>
      </w:r>
      <w:r w:rsidR="00B45FF1" w:rsidRPr="00D13B67">
        <w:rPr>
          <w:i/>
          <w:iCs/>
        </w:rPr>
        <w:t xml:space="preserve">n </w:t>
      </w:r>
      <w:r w:rsidR="00B45FF1" w:rsidRPr="00D13B67">
        <w:t>= 7)</w:t>
      </w:r>
      <w:r w:rsidR="006A2A1D" w:rsidRPr="00D13B67">
        <w:t xml:space="preserve"> viewed the resource and </w:t>
      </w:r>
      <w:r w:rsidR="00EF2AFD" w:rsidRPr="00D13B67">
        <w:t>completed a survey</w:t>
      </w:r>
      <w:r w:rsidR="006A2A1D" w:rsidRPr="00D13B67">
        <w:t>.</w:t>
      </w:r>
      <w:r w:rsidR="003B1230" w:rsidRPr="00D13B67">
        <w:t xml:space="preserve"> </w:t>
      </w:r>
      <w:r w:rsidR="00BB09FD" w:rsidRPr="00D13B67">
        <w:t xml:space="preserve">Engaging with disabled students' experiences led </w:t>
      </w:r>
      <w:r w:rsidR="008F79CC">
        <w:t xml:space="preserve">85% of </w:t>
      </w:r>
      <w:r w:rsidR="00BB09FD" w:rsidRPr="00D13B67">
        <w:t xml:space="preserve">survey respondents to </w:t>
      </w:r>
      <w:r w:rsidR="008648BC" w:rsidRPr="00D13B67">
        <w:t xml:space="preserve">report finding the student narratives compelling and </w:t>
      </w:r>
      <w:r w:rsidR="008F79CC">
        <w:t xml:space="preserve">85% indicating </w:t>
      </w:r>
      <w:r w:rsidR="00BB09FD" w:rsidRPr="00D13B67">
        <w:t>increased interest in accessible content creation</w:t>
      </w:r>
      <w:r w:rsidR="008648BC" w:rsidRPr="00D13B67">
        <w:t xml:space="preserve">. </w:t>
      </w:r>
      <w:r w:rsidR="004816A5" w:rsidRPr="00D13B67">
        <w:t xml:space="preserve">This research </w:t>
      </w:r>
      <w:r w:rsidR="0044007E" w:rsidRPr="00D13B67">
        <w:t>produced a rich collection of disabled students’ experiences with inaccessible content which will continue to influence post-secondary employees and exist as a dataset for future research.</w:t>
      </w:r>
      <w:r w:rsidR="00940A85" w:rsidRPr="00D13B67">
        <w:t xml:space="preserve"> This study finds </w:t>
      </w:r>
      <w:r w:rsidR="00C5081D" w:rsidRPr="00D13B67">
        <w:t xml:space="preserve">that students prefer </w:t>
      </w:r>
      <w:r w:rsidR="00182F1E" w:rsidRPr="00D13B67">
        <w:t xml:space="preserve">digital content that is flexible to their needs, such as Word documents and web content, as opposed to </w:t>
      </w:r>
      <w:r w:rsidR="005B0740" w:rsidRPr="00D13B67">
        <w:t>rigid formats like PDFs and publisher platforms. Additionally,</w:t>
      </w:r>
      <w:r w:rsidR="00940A85" w:rsidRPr="00D13B67">
        <w:t xml:space="preserve"> </w:t>
      </w:r>
      <w:r w:rsidR="00214361" w:rsidRPr="00D13B67">
        <w:t>fostering greater empathy and understanding</w:t>
      </w:r>
      <w:r w:rsidR="00C5081D" w:rsidRPr="00D13B67">
        <w:t xml:space="preserve"> amongst</w:t>
      </w:r>
      <w:r w:rsidR="00940A85" w:rsidRPr="00D13B67">
        <w:t xml:space="preserve"> post-secondary employees through student stories can influence attitudes toward improving digital accessibility where legislation has been </w:t>
      </w:r>
      <w:r w:rsidR="0064659E" w:rsidRPr="00D13B67">
        <w:t>ineffective</w:t>
      </w:r>
      <w:r w:rsidR="00940A85" w:rsidRPr="00D13B67">
        <w:t>.</w:t>
      </w:r>
    </w:p>
    <w:p w14:paraId="6B204938" w14:textId="798E4EB2" w:rsidR="61D36089" w:rsidRPr="00D13B67" w:rsidRDefault="61D36089">
      <w:r w:rsidRPr="00D13B67">
        <w:br w:type="page"/>
      </w:r>
    </w:p>
    <w:p w14:paraId="1233AEF5" w14:textId="6DC89736" w:rsidR="00D11D1D" w:rsidRPr="00D13B67" w:rsidRDefault="00D11D1D" w:rsidP="00D11D1D">
      <w:pPr>
        <w:pStyle w:val="Heading2"/>
      </w:pPr>
      <w:bookmarkStart w:id="2" w:name="_Toc228867957"/>
      <w:r>
        <w:lastRenderedPageBreak/>
        <w:t>Acknowledgements</w:t>
      </w:r>
      <w:bookmarkEnd w:id="2"/>
    </w:p>
    <w:p w14:paraId="63CB9696" w14:textId="77777777" w:rsidR="00D11D1D" w:rsidRPr="00D13B67" w:rsidRDefault="00D11D1D" w:rsidP="00D11D1D">
      <w:pPr>
        <w:pStyle w:val="Heading3"/>
      </w:pPr>
      <w:bookmarkStart w:id="3" w:name="_Toc228867958"/>
      <w:r w:rsidRPr="00D13B67">
        <w:t>Co-designers</w:t>
      </w:r>
      <w:bookmarkEnd w:id="3"/>
    </w:p>
    <w:p w14:paraId="145CF16E" w14:textId="77777777" w:rsidR="00D11D1D" w:rsidRPr="00D13B67" w:rsidRDefault="00D11D1D" w:rsidP="00D11D1D">
      <w:r w:rsidRPr="00D13B67">
        <w:t>Soma Ali</w:t>
      </w:r>
    </w:p>
    <w:p w14:paraId="4CA6C2E1" w14:textId="77777777" w:rsidR="00D11D1D" w:rsidRPr="00D13B67" w:rsidRDefault="00D11D1D" w:rsidP="00D11D1D">
      <w:r w:rsidRPr="00D13B67">
        <w:t>Stella Grynspan</w:t>
      </w:r>
    </w:p>
    <w:p w14:paraId="348F1B3D" w14:textId="77777777" w:rsidR="00D11D1D" w:rsidRPr="00D13B67" w:rsidRDefault="00D11D1D" w:rsidP="00D11D1D">
      <w:r w:rsidRPr="00D13B67">
        <w:t>Lila McKinlay</w:t>
      </w:r>
    </w:p>
    <w:p w14:paraId="7114C368" w14:textId="77777777" w:rsidR="00D11D1D" w:rsidRPr="00D13B67" w:rsidRDefault="00D11D1D" w:rsidP="00D11D1D">
      <w:r w:rsidRPr="00D13B67">
        <w:t>Matthew McLeod</w:t>
      </w:r>
    </w:p>
    <w:p w14:paraId="44995B3A" w14:textId="77777777" w:rsidR="00D11D1D" w:rsidRPr="00D13B67" w:rsidRDefault="00D11D1D" w:rsidP="00D11D1D">
      <w:pPr>
        <w:pStyle w:val="Heading3"/>
      </w:pPr>
      <w:bookmarkStart w:id="4" w:name="_Toc228867959"/>
      <w:r w:rsidRPr="00D13B67">
        <w:t>Principal Investigator</w:t>
      </w:r>
      <w:bookmarkEnd w:id="4"/>
    </w:p>
    <w:p w14:paraId="4A4D9005" w14:textId="77777777" w:rsidR="00D11D1D" w:rsidRPr="00D13B67" w:rsidRDefault="00D11D1D" w:rsidP="00D11D1D">
      <w:r w:rsidRPr="00D13B67">
        <w:t>Dr. Michelle Miller</w:t>
      </w:r>
    </w:p>
    <w:p w14:paraId="1C9AE264" w14:textId="77777777" w:rsidR="00D11D1D" w:rsidRPr="00D13B67" w:rsidRDefault="00D11D1D" w:rsidP="00D11D1D">
      <w:r w:rsidRPr="00D13B67">
        <w:br w:type="page"/>
      </w:r>
    </w:p>
    <w:p w14:paraId="50A5EC05" w14:textId="77777777" w:rsidR="759BAD31" w:rsidRPr="00D13B67" w:rsidRDefault="759BAD31" w:rsidP="61D36089">
      <w:pPr>
        <w:pStyle w:val="Heading2"/>
      </w:pPr>
      <w:bookmarkStart w:id="5" w:name="_Toc228867960"/>
      <w:r w:rsidRPr="00D13B67">
        <w:lastRenderedPageBreak/>
        <w:t>Table of Contents</w:t>
      </w:r>
      <w:bookmarkEnd w:id="5"/>
    </w:p>
    <w:sdt>
      <w:sdtPr>
        <w:id w:val="-307471222"/>
        <w:docPartObj>
          <w:docPartGallery w:val="Table of Contents"/>
          <w:docPartUnique/>
        </w:docPartObj>
      </w:sdtPr>
      <w:sdtEndPr>
        <w:rPr>
          <w:rFonts w:eastAsia="Times New Roman" w:cs="Times New Roman"/>
          <w:b/>
          <w:bCs/>
          <w:noProof/>
          <w:sz w:val="24"/>
          <w:szCs w:val="24"/>
          <w:lang w:val="en-CA"/>
        </w:rPr>
      </w:sdtEndPr>
      <w:sdtContent>
        <w:p w14:paraId="16490EA9" w14:textId="348FD059" w:rsidR="00AF4A14" w:rsidRPr="00D13B67" w:rsidRDefault="00AF4A14" w:rsidP="00241BF6">
          <w:pPr>
            <w:pStyle w:val="TOCHeading"/>
            <w:rPr>
              <w:sz w:val="2"/>
              <w:szCs w:val="2"/>
            </w:rPr>
          </w:pPr>
        </w:p>
        <w:p w14:paraId="054C408F" w14:textId="6B65F225" w:rsidR="00305C0E" w:rsidRDefault="00C42776">
          <w:pPr>
            <w:pStyle w:val="TOC2"/>
            <w:tabs>
              <w:tab w:val="right" w:leader="dot" w:pos="9350"/>
            </w:tabs>
            <w:rPr>
              <w:rFonts w:eastAsiaTheme="minorEastAsia" w:cstheme="minorBidi"/>
              <w:noProof/>
              <w:kern w:val="2"/>
              <w:lang w:eastAsia="zh-CN"/>
              <w14:ligatures w14:val="standardContextual"/>
            </w:rPr>
          </w:pPr>
          <w:r w:rsidRPr="00D13B67">
            <w:fldChar w:fldCharType="begin"/>
          </w:r>
          <w:r w:rsidRPr="00D13B67">
            <w:instrText xml:space="preserve"> TOC \o "1-4" \h \z \u </w:instrText>
          </w:r>
          <w:r w:rsidRPr="00D13B67">
            <w:fldChar w:fldCharType="separate"/>
          </w:r>
          <w:hyperlink w:anchor="_Toc228867955" w:history="1">
            <w:r w:rsidR="00305C0E" w:rsidRPr="00665685">
              <w:rPr>
                <w:rStyle w:val="Hyperlink"/>
                <w:noProof/>
              </w:rPr>
              <w:t>Creative Commons Copyright Notice</w:t>
            </w:r>
            <w:r w:rsidR="00305C0E">
              <w:rPr>
                <w:noProof/>
                <w:webHidden/>
              </w:rPr>
              <w:tab/>
            </w:r>
            <w:r w:rsidR="00305C0E">
              <w:rPr>
                <w:noProof/>
                <w:webHidden/>
              </w:rPr>
              <w:fldChar w:fldCharType="begin"/>
            </w:r>
            <w:r w:rsidR="00305C0E">
              <w:rPr>
                <w:noProof/>
                <w:webHidden/>
              </w:rPr>
              <w:instrText xml:space="preserve"> PAGEREF _Toc228867955 \h </w:instrText>
            </w:r>
            <w:r w:rsidR="00305C0E">
              <w:rPr>
                <w:noProof/>
                <w:webHidden/>
              </w:rPr>
            </w:r>
            <w:r w:rsidR="00305C0E">
              <w:rPr>
                <w:noProof/>
                <w:webHidden/>
              </w:rPr>
              <w:fldChar w:fldCharType="separate"/>
            </w:r>
            <w:r w:rsidR="00305C0E">
              <w:rPr>
                <w:noProof/>
                <w:webHidden/>
              </w:rPr>
              <w:t>2</w:t>
            </w:r>
            <w:r w:rsidR="00305C0E">
              <w:rPr>
                <w:noProof/>
                <w:webHidden/>
              </w:rPr>
              <w:fldChar w:fldCharType="end"/>
            </w:r>
          </w:hyperlink>
        </w:p>
        <w:p w14:paraId="595570DC" w14:textId="54112585"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7956" w:history="1">
            <w:r w:rsidRPr="00665685">
              <w:rPr>
                <w:rStyle w:val="Hyperlink"/>
                <w:noProof/>
              </w:rPr>
              <w:t>Abstract</w:t>
            </w:r>
            <w:r>
              <w:rPr>
                <w:noProof/>
                <w:webHidden/>
              </w:rPr>
              <w:tab/>
            </w:r>
            <w:r>
              <w:rPr>
                <w:noProof/>
                <w:webHidden/>
              </w:rPr>
              <w:fldChar w:fldCharType="begin"/>
            </w:r>
            <w:r>
              <w:rPr>
                <w:noProof/>
                <w:webHidden/>
              </w:rPr>
              <w:instrText xml:space="preserve"> PAGEREF _Toc228867956 \h </w:instrText>
            </w:r>
            <w:r>
              <w:rPr>
                <w:noProof/>
                <w:webHidden/>
              </w:rPr>
            </w:r>
            <w:r>
              <w:rPr>
                <w:noProof/>
                <w:webHidden/>
              </w:rPr>
              <w:fldChar w:fldCharType="separate"/>
            </w:r>
            <w:r>
              <w:rPr>
                <w:noProof/>
                <w:webHidden/>
              </w:rPr>
              <w:t>3</w:t>
            </w:r>
            <w:r>
              <w:rPr>
                <w:noProof/>
                <w:webHidden/>
              </w:rPr>
              <w:fldChar w:fldCharType="end"/>
            </w:r>
          </w:hyperlink>
        </w:p>
        <w:p w14:paraId="3DD789A1" w14:textId="1744B2C9"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7957" w:history="1">
            <w:r w:rsidRPr="00665685">
              <w:rPr>
                <w:rStyle w:val="Hyperlink"/>
                <w:noProof/>
              </w:rPr>
              <w:t>Acknowledgements</w:t>
            </w:r>
            <w:r>
              <w:rPr>
                <w:noProof/>
                <w:webHidden/>
              </w:rPr>
              <w:tab/>
            </w:r>
            <w:r>
              <w:rPr>
                <w:noProof/>
                <w:webHidden/>
              </w:rPr>
              <w:fldChar w:fldCharType="begin"/>
            </w:r>
            <w:r>
              <w:rPr>
                <w:noProof/>
                <w:webHidden/>
              </w:rPr>
              <w:instrText xml:space="preserve"> PAGEREF _Toc228867957 \h </w:instrText>
            </w:r>
            <w:r>
              <w:rPr>
                <w:noProof/>
                <w:webHidden/>
              </w:rPr>
            </w:r>
            <w:r>
              <w:rPr>
                <w:noProof/>
                <w:webHidden/>
              </w:rPr>
              <w:fldChar w:fldCharType="separate"/>
            </w:r>
            <w:r>
              <w:rPr>
                <w:noProof/>
                <w:webHidden/>
              </w:rPr>
              <w:t>4</w:t>
            </w:r>
            <w:r>
              <w:rPr>
                <w:noProof/>
                <w:webHidden/>
              </w:rPr>
              <w:fldChar w:fldCharType="end"/>
            </w:r>
          </w:hyperlink>
        </w:p>
        <w:p w14:paraId="10C7B9F0" w14:textId="20BDB418"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58" w:history="1">
            <w:r w:rsidRPr="00665685">
              <w:rPr>
                <w:rStyle w:val="Hyperlink"/>
                <w:noProof/>
              </w:rPr>
              <w:t>Co-designers</w:t>
            </w:r>
            <w:r>
              <w:rPr>
                <w:noProof/>
                <w:webHidden/>
              </w:rPr>
              <w:tab/>
            </w:r>
            <w:r>
              <w:rPr>
                <w:noProof/>
                <w:webHidden/>
              </w:rPr>
              <w:fldChar w:fldCharType="begin"/>
            </w:r>
            <w:r>
              <w:rPr>
                <w:noProof/>
                <w:webHidden/>
              </w:rPr>
              <w:instrText xml:space="preserve"> PAGEREF _Toc228867958 \h </w:instrText>
            </w:r>
            <w:r>
              <w:rPr>
                <w:noProof/>
                <w:webHidden/>
              </w:rPr>
            </w:r>
            <w:r>
              <w:rPr>
                <w:noProof/>
                <w:webHidden/>
              </w:rPr>
              <w:fldChar w:fldCharType="separate"/>
            </w:r>
            <w:r>
              <w:rPr>
                <w:noProof/>
                <w:webHidden/>
              </w:rPr>
              <w:t>4</w:t>
            </w:r>
            <w:r>
              <w:rPr>
                <w:noProof/>
                <w:webHidden/>
              </w:rPr>
              <w:fldChar w:fldCharType="end"/>
            </w:r>
          </w:hyperlink>
        </w:p>
        <w:p w14:paraId="5934D47F" w14:textId="6BADCDDB"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59" w:history="1">
            <w:r w:rsidRPr="00665685">
              <w:rPr>
                <w:rStyle w:val="Hyperlink"/>
                <w:noProof/>
              </w:rPr>
              <w:t>Principal Investigator</w:t>
            </w:r>
            <w:r>
              <w:rPr>
                <w:noProof/>
                <w:webHidden/>
              </w:rPr>
              <w:tab/>
            </w:r>
            <w:r>
              <w:rPr>
                <w:noProof/>
                <w:webHidden/>
              </w:rPr>
              <w:fldChar w:fldCharType="begin"/>
            </w:r>
            <w:r>
              <w:rPr>
                <w:noProof/>
                <w:webHidden/>
              </w:rPr>
              <w:instrText xml:space="preserve"> PAGEREF _Toc228867959 \h </w:instrText>
            </w:r>
            <w:r>
              <w:rPr>
                <w:noProof/>
                <w:webHidden/>
              </w:rPr>
            </w:r>
            <w:r>
              <w:rPr>
                <w:noProof/>
                <w:webHidden/>
              </w:rPr>
              <w:fldChar w:fldCharType="separate"/>
            </w:r>
            <w:r>
              <w:rPr>
                <w:noProof/>
                <w:webHidden/>
              </w:rPr>
              <w:t>4</w:t>
            </w:r>
            <w:r>
              <w:rPr>
                <w:noProof/>
                <w:webHidden/>
              </w:rPr>
              <w:fldChar w:fldCharType="end"/>
            </w:r>
          </w:hyperlink>
        </w:p>
        <w:p w14:paraId="5AC901B3" w14:textId="16F748C4"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7960" w:history="1">
            <w:r w:rsidRPr="00665685">
              <w:rPr>
                <w:rStyle w:val="Hyperlink"/>
                <w:noProof/>
              </w:rPr>
              <w:t>Table of Contents</w:t>
            </w:r>
            <w:r>
              <w:rPr>
                <w:noProof/>
                <w:webHidden/>
              </w:rPr>
              <w:tab/>
            </w:r>
            <w:r>
              <w:rPr>
                <w:noProof/>
                <w:webHidden/>
              </w:rPr>
              <w:fldChar w:fldCharType="begin"/>
            </w:r>
            <w:r>
              <w:rPr>
                <w:noProof/>
                <w:webHidden/>
              </w:rPr>
              <w:instrText xml:space="preserve"> PAGEREF _Toc228867960 \h </w:instrText>
            </w:r>
            <w:r>
              <w:rPr>
                <w:noProof/>
                <w:webHidden/>
              </w:rPr>
            </w:r>
            <w:r>
              <w:rPr>
                <w:noProof/>
                <w:webHidden/>
              </w:rPr>
              <w:fldChar w:fldCharType="separate"/>
            </w:r>
            <w:r>
              <w:rPr>
                <w:noProof/>
                <w:webHidden/>
              </w:rPr>
              <w:t>5</w:t>
            </w:r>
            <w:r>
              <w:rPr>
                <w:noProof/>
                <w:webHidden/>
              </w:rPr>
              <w:fldChar w:fldCharType="end"/>
            </w:r>
          </w:hyperlink>
        </w:p>
        <w:p w14:paraId="6C5309A4" w14:textId="07B01F4B"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7961" w:history="1">
            <w:r w:rsidRPr="00665685">
              <w:rPr>
                <w:rStyle w:val="Hyperlink"/>
                <w:noProof/>
              </w:rPr>
              <w:t>List of Tables and Figures</w:t>
            </w:r>
            <w:r>
              <w:rPr>
                <w:noProof/>
                <w:webHidden/>
              </w:rPr>
              <w:tab/>
            </w:r>
            <w:r>
              <w:rPr>
                <w:noProof/>
                <w:webHidden/>
              </w:rPr>
              <w:fldChar w:fldCharType="begin"/>
            </w:r>
            <w:r>
              <w:rPr>
                <w:noProof/>
                <w:webHidden/>
              </w:rPr>
              <w:instrText xml:space="preserve"> PAGEREF _Toc228867961 \h </w:instrText>
            </w:r>
            <w:r>
              <w:rPr>
                <w:noProof/>
                <w:webHidden/>
              </w:rPr>
            </w:r>
            <w:r>
              <w:rPr>
                <w:noProof/>
                <w:webHidden/>
              </w:rPr>
              <w:fldChar w:fldCharType="separate"/>
            </w:r>
            <w:r>
              <w:rPr>
                <w:noProof/>
                <w:webHidden/>
              </w:rPr>
              <w:t>8</w:t>
            </w:r>
            <w:r>
              <w:rPr>
                <w:noProof/>
                <w:webHidden/>
              </w:rPr>
              <w:fldChar w:fldCharType="end"/>
            </w:r>
          </w:hyperlink>
        </w:p>
        <w:p w14:paraId="48A5BBB5" w14:textId="317AF3D2"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62" w:history="1">
            <w:r w:rsidRPr="00665685">
              <w:rPr>
                <w:rStyle w:val="Hyperlink"/>
                <w:noProof/>
              </w:rPr>
              <w:t>Tables</w:t>
            </w:r>
            <w:r>
              <w:rPr>
                <w:noProof/>
                <w:webHidden/>
              </w:rPr>
              <w:tab/>
            </w:r>
            <w:r>
              <w:rPr>
                <w:noProof/>
                <w:webHidden/>
              </w:rPr>
              <w:fldChar w:fldCharType="begin"/>
            </w:r>
            <w:r>
              <w:rPr>
                <w:noProof/>
                <w:webHidden/>
              </w:rPr>
              <w:instrText xml:space="preserve"> PAGEREF _Toc228867962 \h </w:instrText>
            </w:r>
            <w:r>
              <w:rPr>
                <w:noProof/>
                <w:webHidden/>
              </w:rPr>
            </w:r>
            <w:r>
              <w:rPr>
                <w:noProof/>
                <w:webHidden/>
              </w:rPr>
              <w:fldChar w:fldCharType="separate"/>
            </w:r>
            <w:r>
              <w:rPr>
                <w:noProof/>
                <w:webHidden/>
              </w:rPr>
              <w:t>8</w:t>
            </w:r>
            <w:r>
              <w:rPr>
                <w:noProof/>
                <w:webHidden/>
              </w:rPr>
              <w:fldChar w:fldCharType="end"/>
            </w:r>
          </w:hyperlink>
        </w:p>
        <w:p w14:paraId="191EF496" w14:textId="77FA132B"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63" w:history="1">
            <w:r w:rsidRPr="00665685">
              <w:rPr>
                <w:rStyle w:val="Hyperlink"/>
                <w:noProof/>
              </w:rPr>
              <w:t>Figures</w:t>
            </w:r>
            <w:r>
              <w:rPr>
                <w:noProof/>
                <w:webHidden/>
              </w:rPr>
              <w:tab/>
            </w:r>
            <w:r>
              <w:rPr>
                <w:noProof/>
                <w:webHidden/>
              </w:rPr>
              <w:fldChar w:fldCharType="begin"/>
            </w:r>
            <w:r>
              <w:rPr>
                <w:noProof/>
                <w:webHidden/>
              </w:rPr>
              <w:instrText xml:space="preserve"> PAGEREF _Toc228867963 \h </w:instrText>
            </w:r>
            <w:r>
              <w:rPr>
                <w:noProof/>
                <w:webHidden/>
              </w:rPr>
            </w:r>
            <w:r>
              <w:rPr>
                <w:noProof/>
                <w:webHidden/>
              </w:rPr>
              <w:fldChar w:fldCharType="separate"/>
            </w:r>
            <w:r>
              <w:rPr>
                <w:noProof/>
                <w:webHidden/>
              </w:rPr>
              <w:t>8</w:t>
            </w:r>
            <w:r>
              <w:rPr>
                <w:noProof/>
                <w:webHidden/>
              </w:rPr>
              <w:fldChar w:fldCharType="end"/>
            </w:r>
          </w:hyperlink>
        </w:p>
        <w:p w14:paraId="5399CC33" w14:textId="5470C7AD"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7964" w:history="1">
            <w:r w:rsidRPr="00665685">
              <w:rPr>
                <w:rStyle w:val="Hyperlink"/>
                <w:noProof/>
              </w:rPr>
              <w:t>1 Introduction</w:t>
            </w:r>
            <w:r>
              <w:rPr>
                <w:noProof/>
                <w:webHidden/>
              </w:rPr>
              <w:tab/>
            </w:r>
            <w:r>
              <w:rPr>
                <w:noProof/>
                <w:webHidden/>
              </w:rPr>
              <w:fldChar w:fldCharType="begin"/>
            </w:r>
            <w:r>
              <w:rPr>
                <w:noProof/>
                <w:webHidden/>
              </w:rPr>
              <w:instrText xml:space="preserve"> PAGEREF _Toc228867964 \h </w:instrText>
            </w:r>
            <w:r>
              <w:rPr>
                <w:noProof/>
                <w:webHidden/>
              </w:rPr>
            </w:r>
            <w:r>
              <w:rPr>
                <w:noProof/>
                <w:webHidden/>
              </w:rPr>
              <w:fldChar w:fldCharType="separate"/>
            </w:r>
            <w:r>
              <w:rPr>
                <w:noProof/>
                <w:webHidden/>
              </w:rPr>
              <w:t>9</w:t>
            </w:r>
            <w:r>
              <w:rPr>
                <w:noProof/>
                <w:webHidden/>
              </w:rPr>
              <w:fldChar w:fldCharType="end"/>
            </w:r>
          </w:hyperlink>
        </w:p>
        <w:p w14:paraId="4E3B92B9" w14:textId="44B060BC"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65" w:history="1">
            <w:r w:rsidRPr="00665685">
              <w:rPr>
                <w:rStyle w:val="Hyperlink"/>
                <w:noProof/>
              </w:rPr>
              <w:t>1.1 Disability Terminologies</w:t>
            </w:r>
            <w:r>
              <w:rPr>
                <w:noProof/>
                <w:webHidden/>
              </w:rPr>
              <w:tab/>
            </w:r>
            <w:r>
              <w:rPr>
                <w:noProof/>
                <w:webHidden/>
              </w:rPr>
              <w:fldChar w:fldCharType="begin"/>
            </w:r>
            <w:r>
              <w:rPr>
                <w:noProof/>
                <w:webHidden/>
              </w:rPr>
              <w:instrText xml:space="preserve"> PAGEREF _Toc228867965 \h </w:instrText>
            </w:r>
            <w:r>
              <w:rPr>
                <w:noProof/>
                <w:webHidden/>
              </w:rPr>
            </w:r>
            <w:r>
              <w:rPr>
                <w:noProof/>
                <w:webHidden/>
              </w:rPr>
              <w:fldChar w:fldCharType="separate"/>
            </w:r>
            <w:r>
              <w:rPr>
                <w:noProof/>
                <w:webHidden/>
              </w:rPr>
              <w:t>10</w:t>
            </w:r>
            <w:r>
              <w:rPr>
                <w:noProof/>
                <w:webHidden/>
              </w:rPr>
              <w:fldChar w:fldCharType="end"/>
            </w:r>
          </w:hyperlink>
        </w:p>
        <w:p w14:paraId="5E78A703" w14:textId="563872E0"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66" w:history="1">
            <w:r w:rsidRPr="00665685">
              <w:rPr>
                <w:rStyle w:val="Hyperlink"/>
                <w:noProof/>
              </w:rPr>
              <w:t>1.2 Disability Statistics</w:t>
            </w:r>
            <w:r>
              <w:rPr>
                <w:noProof/>
                <w:webHidden/>
              </w:rPr>
              <w:tab/>
            </w:r>
            <w:r>
              <w:rPr>
                <w:noProof/>
                <w:webHidden/>
              </w:rPr>
              <w:fldChar w:fldCharType="begin"/>
            </w:r>
            <w:r>
              <w:rPr>
                <w:noProof/>
                <w:webHidden/>
              </w:rPr>
              <w:instrText xml:space="preserve"> PAGEREF _Toc228867966 \h </w:instrText>
            </w:r>
            <w:r>
              <w:rPr>
                <w:noProof/>
                <w:webHidden/>
              </w:rPr>
            </w:r>
            <w:r>
              <w:rPr>
                <w:noProof/>
                <w:webHidden/>
              </w:rPr>
              <w:fldChar w:fldCharType="separate"/>
            </w:r>
            <w:r>
              <w:rPr>
                <w:noProof/>
                <w:webHidden/>
              </w:rPr>
              <w:t>14</w:t>
            </w:r>
            <w:r>
              <w:rPr>
                <w:noProof/>
                <w:webHidden/>
              </w:rPr>
              <w:fldChar w:fldCharType="end"/>
            </w:r>
          </w:hyperlink>
        </w:p>
        <w:p w14:paraId="55ABF5D4" w14:textId="4DC4F454"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67" w:history="1">
            <w:r w:rsidRPr="00665685">
              <w:rPr>
                <w:rStyle w:val="Hyperlink"/>
                <w:noProof/>
              </w:rPr>
              <w:t>1.3 Digital Accessibility</w:t>
            </w:r>
            <w:r>
              <w:rPr>
                <w:noProof/>
                <w:webHidden/>
              </w:rPr>
              <w:tab/>
            </w:r>
            <w:r>
              <w:rPr>
                <w:noProof/>
                <w:webHidden/>
              </w:rPr>
              <w:fldChar w:fldCharType="begin"/>
            </w:r>
            <w:r>
              <w:rPr>
                <w:noProof/>
                <w:webHidden/>
              </w:rPr>
              <w:instrText xml:space="preserve"> PAGEREF _Toc228867967 \h </w:instrText>
            </w:r>
            <w:r>
              <w:rPr>
                <w:noProof/>
                <w:webHidden/>
              </w:rPr>
            </w:r>
            <w:r>
              <w:rPr>
                <w:noProof/>
                <w:webHidden/>
              </w:rPr>
              <w:fldChar w:fldCharType="separate"/>
            </w:r>
            <w:r>
              <w:rPr>
                <w:noProof/>
                <w:webHidden/>
              </w:rPr>
              <w:t>14</w:t>
            </w:r>
            <w:r>
              <w:rPr>
                <w:noProof/>
                <w:webHidden/>
              </w:rPr>
              <w:fldChar w:fldCharType="end"/>
            </w:r>
          </w:hyperlink>
        </w:p>
        <w:p w14:paraId="4102BAC1" w14:textId="4068FA15"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7968" w:history="1">
            <w:r w:rsidRPr="00665685">
              <w:rPr>
                <w:rStyle w:val="Hyperlink"/>
                <w:noProof/>
              </w:rPr>
              <w:t>2 Literature Review</w:t>
            </w:r>
            <w:r>
              <w:rPr>
                <w:noProof/>
                <w:webHidden/>
              </w:rPr>
              <w:tab/>
            </w:r>
            <w:r>
              <w:rPr>
                <w:noProof/>
                <w:webHidden/>
              </w:rPr>
              <w:fldChar w:fldCharType="begin"/>
            </w:r>
            <w:r>
              <w:rPr>
                <w:noProof/>
                <w:webHidden/>
              </w:rPr>
              <w:instrText xml:space="preserve"> PAGEREF _Toc228867968 \h </w:instrText>
            </w:r>
            <w:r>
              <w:rPr>
                <w:noProof/>
                <w:webHidden/>
              </w:rPr>
            </w:r>
            <w:r>
              <w:rPr>
                <w:noProof/>
                <w:webHidden/>
              </w:rPr>
              <w:fldChar w:fldCharType="separate"/>
            </w:r>
            <w:r>
              <w:rPr>
                <w:noProof/>
                <w:webHidden/>
              </w:rPr>
              <w:t>15</w:t>
            </w:r>
            <w:r>
              <w:rPr>
                <w:noProof/>
                <w:webHidden/>
              </w:rPr>
              <w:fldChar w:fldCharType="end"/>
            </w:r>
          </w:hyperlink>
        </w:p>
        <w:p w14:paraId="20C357CE" w14:textId="6611F96E"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69" w:history="1">
            <w:r w:rsidRPr="00665685">
              <w:rPr>
                <w:rStyle w:val="Hyperlink"/>
                <w:noProof/>
              </w:rPr>
              <w:t>2.1 Disability and Higher Education</w:t>
            </w:r>
            <w:r>
              <w:rPr>
                <w:noProof/>
                <w:webHidden/>
              </w:rPr>
              <w:tab/>
            </w:r>
            <w:r>
              <w:rPr>
                <w:noProof/>
                <w:webHidden/>
              </w:rPr>
              <w:fldChar w:fldCharType="begin"/>
            </w:r>
            <w:r>
              <w:rPr>
                <w:noProof/>
                <w:webHidden/>
              </w:rPr>
              <w:instrText xml:space="preserve"> PAGEREF _Toc228867969 \h </w:instrText>
            </w:r>
            <w:r>
              <w:rPr>
                <w:noProof/>
                <w:webHidden/>
              </w:rPr>
            </w:r>
            <w:r>
              <w:rPr>
                <w:noProof/>
                <w:webHidden/>
              </w:rPr>
              <w:fldChar w:fldCharType="separate"/>
            </w:r>
            <w:r>
              <w:rPr>
                <w:noProof/>
                <w:webHidden/>
              </w:rPr>
              <w:t>15</w:t>
            </w:r>
            <w:r>
              <w:rPr>
                <w:noProof/>
                <w:webHidden/>
              </w:rPr>
              <w:fldChar w:fldCharType="end"/>
            </w:r>
          </w:hyperlink>
        </w:p>
        <w:p w14:paraId="010C3D93" w14:textId="046D9215"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70" w:history="1">
            <w:r w:rsidRPr="00665685">
              <w:rPr>
                <w:rStyle w:val="Hyperlink"/>
                <w:noProof/>
              </w:rPr>
              <w:t>2.1.1 Technology Related Accommodations</w:t>
            </w:r>
            <w:r>
              <w:rPr>
                <w:noProof/>
                <w:webHidden/>
              </w:rPr>
              <w:tab/>
            </w:r>
            <w:r>
              <w:rPr>
                <w:noProof/>
                <w:webHidden/>
              </w:rPr>
              <w:fldChar w:fldCharType="begin"/>
            </w:r>
            <w:r>
              <w:rPr>
                <w:noProof/>
                <w:webHidden/>
              </w:rPr>
              <w:instrText xml:space="preserve"> PAGEREF _Toc228867970 \h </w:instrText>
            </w:r>
            <w:r>
              <w:rPr>
                <w:noProof/>
                <w:webHidden/>
              </w:rPr>
            </w:r>
            <w:r>
              <w:rPr>
                <w:noProof/>
                <w:webHidden/>
              </w:rPr>
              <w:fldChar w:fldCharType="separate"/>
            </w:r>
            <w:r>
              <w:rPr>
                <w:noProof/>
                <w:webHidden/>
              </w:rPr>
              <w:t>18</w:t>
            </w:r>
            <w:r>
              <w:rPr>
                <w:noProof/>
                <w:webHidden/>
              </w:rPr>
              <w:fldChar w:fldCharType="end"/>
            </w:r>
          </w:hyperlink>
        </w:p>
        <w:p w14:paraId="4DA2EBAC" w14:textId="157304A6"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71" w:history="1">
            <w:r w:rsidRPr="00665685">
              <w:rPr>
                <w:rStyle w:val="Hyperlink"/>
                <w:noProof/>
              </w:rPr>
              <w:t>2.1.2 Retention and Completion</w:t>
            </w:r>
            <w:r>
              <w:rPr>
                <w:noProof/>
                <w:webHidden/>
              </w:rPr>
              <w:tab/>
            </w:r>
            <w:r>
              <w:rPr>
                <w:noProof/>
                <w:webHidden/>
              </w:rPr>
              <w:fldChar w:fldCharType="begin"/>
            </w:r>
            <w:r>
              <w:rPr>
                <w:noProof/>
                <w:webHidden/>
              </w:rPr>
              <w:instrText xml:space="preserve"> PAGEREF _Toc228867971 \h </w:instrText>
            </w:r>
            <w:r>
              <w:rPr>
                <w:noProof/>
                <w:webHidden/>
              </w:rPr>
            </w:r>
            <w:r>
              <w:rPr>
                <w:noProof/>
                <w:webHidden/>
              </w:rPr>
              <w:fldChar w:fldCharType="separate"/>
            </w:r>
            <w:r>
              <w:rPr>
                <w:noProof/>
                <w:webHidden/>
              </w:rPr>
              <w:t>20</w:t>
            </w:r>
            <w:r>
              <w:rPr>
                <w:noProof/>
                <w:webHidden/>
              </w:rPr>
              <w:fldChar w:fldCharType="end"/>
            </w:r>
          </w:hyperlink>
        </w:p>
        <w:p w14:paraId="7E37F2F5" w14:textId="4B4C79A7"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72" w:history="1">
            <w:r w:rsidRPr="00665685">
              <w:rPr>
                <w:rStyle w:val="Hyperlink"/>
                <w:noProof/>
              </w:rPr>
              <w:t>2.1.3 Academic Accommodations</w:t>
            </w:r>
            <w:r>
              <w:rPr>
                <w:noProof/>
                <w:webHidden/>
              </w:rPr>
              <w:tab/>
            </w:r>
            <w:r>
              <w:rPr>
                <w:noProof/>
                <w:webHidden/>
              </w:rPr>
              <w:fldChar w:fldCharType="begin"/>
            </w:r>
            <w:r>
              <w:rPr>
                <w:noProof/>
                <w:webHidden/>
              </w:rPr>
              <w:instrText xml:space="preserve"> PAGEREF _Toc228867972 \h </w:instrText>
            </w:r>
            <w:r>
              <w:rPr>
                <w:noProof/>
                <w:webHidden/>
              </w:rPr>
            </w:r>
            <w:r>
              <w:rPr>
                <w:noProof/>
                <w:webHidden/>
              </w:rPr>
              <w:fldChar w:fldCharType="separate"/>
            </w:r>
            <w:r>
              <w:rPr>
                <w:noProof/>
                <w:webHidden/>
              </w:rPr>
              <w:t>22</w:t>
            </w:r>
            <w:r>
              <w:rPr>
                <w:noProof/>
                <w:webHidden/>
              </w:rPr>
              <w:fldChar w:fldCharType="end"/>
            </w:r>
          </w:hyperlink>
        </w:p>
        <w:p w14:paraId="4370A5A1" w14:textId="7282ADE5"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73" w:history="1">
            <w:r w:rsidRPr="00665685">
              <w:rPr>
                <w:rStyle w:val="Hyperlink"/>
                <w:noProof/>
              </w:rPr>
              <w:t>2.1.4 Digital Accessibility in Education</w:t>
            </w:r>
            <w:r>
              <w:rPr>
                <w:noProof/>
                <w:webHidden/>
              </w:rPr>
              <w:tab/>
            </w:r>
            <w:r>
              <w:rPr>
                <w:noProof/>
                <w:webHidden/>
              </w:rPr>
              <w:fldChar w:fldCharType="begin"/>
            </w:r>
            <w:r>
              <w:rPr>
                <w:noProof/>
                <w:webHidden/>
              </w:rPr>
              <w:instrText xml:space="preserve"> PAGEREF _Toc228867973 \h </w:instrText>
            </w:r>
            <w:r>
              <w:rPr>
                <w:noProof/>
                <w:webHidden/>
              </w:rPr>
            </w:r>
            <w:r>
              <w:rPr>
                <w:noProof/>
                <w:webHidden/>
              </w:rPr>
              <w:fldChar w:fldCharType="separate"/>
            </w:r>
            <w:r>
              <w:rPr>
                <w:noProof/>
                <w:webHidden/>
              </w:rPr>
              <w:t>34</w:t>
            </w:r>
            <w:r>
              <w:rPr>
                <w:noProof/>
                <w:webHidden/>
              </w:rPr>
              <w:fldChar w:fldCharType="end"/>
            </w:r>
          </w:hyperlink>
        </w:p>
        <w:p w14:paraId="538ED872" w14:textId="7693F736"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74" w:history="1">
            <w:r w:rsidRPr="00665685">
              <w:rPr>
                <w:rStyle w:val="Hyperlink"/>
                <w:noProof/>
              </w:rPr>
              <w:t>2.2 Disability Theory</w:t>
            </w:r>
            <w:r>
              <w:rPr>
                <w:noProof/>
                <w:webHidden/>
              </w:rPr>
              <w:tab/>
            </w:r>
            <w:r>
              <w:rPr>
                <w:noProof/>
                <w:webHidden/>
              </w:rPr>
              <w:fldChar w:fldCharType="begin"/>
            </w:r>
            <w:r>
              <w:rPr>
                <w:noProof/>
                <w:webHidden/>
              </w:rPr>
              <w:instrText xml:space="preserve"> PAGEREF _Toc228867974 \h </w:instrText>
            </w:r>
            <w:r>
              <w:rPr>
                <w:noProof/>
                <w:webHidden/>
              </w:rPr>
            </w:r>
            <w:r>
              <w:rPr>
                <w:noProof/>
                <w:webHidden/>
              </w:rPr>
              <w:fldChar w:fldCharType="separate"/>
            </w:r>
            <w:r>
              <w:rPr>
                <w:noProof/>
                <w:webHidden/>
              </w:rPr>
              <w:t>37</w:t>
            </w:r>
            <w:r>
              <w:rPr>
                <w:noProof/>
                <w:webHidden/>
              </w:rPr>
              <w:fldChar w:fldCharType="end"/>
            </w:r>
          </w:hyperlink>
        </w:p>
        <w:p w14:paraId="2A1267C7" w14:textId="32B6803F"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75" w:history="1">
            <w:r w:rsidRPr="00665685">
              <w:rPr>
                <w:rStyle w:val="Hyperlink"/>
                <w:noProof/>
              </w:rPr>
              <w:t>2.2.1 Models of Disability</w:t>
            </w:r>
            <w:r>
              <w:rPr>
                <w:noProof/>
                <w:webHidden/>
              </w:rPr>
              <w:tab/>
            </w:r>
            <w:r>
              <w:rPr>
                <w:noProof/>
                <w:webHidden/>
              </w:rPr>
              <w:fldChar w:fldCharType="begin"/>
            </w:r>
            <w:r>
              <w:rPr>
                <w:noProof/>
                <w:webHidden/>
              </w:rPr>
              <w:instrText xml:space="preserve"> PAGEREF _Toc228867975 \h </w:instrText>
            </w:r>
            <w:r>
              <w:rPr>
                <w:noProof/>
                <w:webHidden/>
              </w:rPr>
            </w:r>
            <w:r>
              <w:rPr>
                <w:noProof/>
                <w:webHidden/>
              </w:rPr>
              <w:fldChar w:fldCharType="separate"/>
            </w:r>
            <w:r>
              <w:rPr>
                <w:noProof/>
                <w:webHidden/>
              </w:rPr>
              <w:t>39</w:t>
            </w:r>
            <w:r>
              <w:rPr>
                <w:noProof/>
                <w:webHidden/>
              </w:rPr>
              <w:fldChar w:fldCharType="end"/>
            </w:r>
          </w:hyperlink>
        </w:p>
        <w:p w14:paraId="1F241962" w14:textId="5024A670"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76" w:history="1">
            <w:r w:rsidRPr="00665685">
              <w:rPr>
                <w:rStyle w:val="Hyperlink"/>
                <w:noProof/>
              </w:rPr>
              <w:t>2.2.2 Disability Research and Methodology</w:t>
            </w:r>
            <w:r>
              <w:rPr>
                <w:noProof/>
                <w:webHidden/>
              </w:rPr>
              <w:tab/>
            </w:r>
            <w:r>
              <w:rPr>
                <w:noProof/>
                <w:webHidden/>
              </w:rPr>
              <w:fldChar w:fldCharType="begin"/>
            </w:r>
            <w:r>
              <w:rPr>
                <w:noProof/>
                <w:webHidden/>
              </w:rPr>
              <w:instrText xml:space="preserve"> PAGEREF _Toc228867976 \h </w:instrText>
            </w:r>
            <w:r>
              <w:rPr>
                <w:noProof/>
                <w:webHidden/>
              </w:rPr>
            </w:r>
            <w:r>
              <w:rPr>
                <w:noProof/>
                <w:webHidden/>
              </w:rPr>
              <w:fldChar w:fldCharType="separate"/>
            </w:r>
            <w:r>
              <w:rPr>
                <w:noProof/>
                <w:webHidden/>
              </w:rPr>
              <w:t>48</w:t>
            </w:r>
            <w:r>
              <w:rPr>
                <w:noProof/>
                <w:webHidden/>
              </w:rPr>
              <w:fldChar w:fldCharType="end"/>
            </w:r>
          </w:hyperlink>
        </w:p>
        <w:p w14:paraId="46EE8125" w14:textId="324D854F"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77" w:history="1">
            <w:r w:rsidRPr="00665685">
              <w:rPr>
                <w:rStyle w:val="Hyperlink"/>
                <w:noProof/>
              </w:rPr>
              <w:t>2.2.3 Access</w:t>
            </w:r>
            <w:r>
              <w:rPr>
                <w:noProof/>
                <w:webHidden/>
              </w:rPr>
              <w:tab/>
            </w:r>
            <w:r>
              <w:rPr>
                <w:noProof/>
                <w:webHidden/>
              </w:rPr>
              <w:fldChar w:fldCharType="begin"/>
            </w:r>
            <w:r>
              <w:rPr>
                <w:noProof/>
                <w:webHidden/>
              </w:rPr>
              <w:instrText xml:space="preserve"> PAGEREF _Toc228867977 \h </w:instrText>
            </w:r>
            <w:r>
              <w:rPr>
                <w:noProof/>
                <w:webHidden/>
              </w:rPr>
            </w:r>
            <w:r>
              <w:rPr>
                <w:noProof/>
                <w:webHidden/>
              </w:rPr>
              <w:fldChar w:fldCharType="separate"/>
            </w:r>
            <w:r>
              <w:rPr>
                <w:noProof/>
                <w:webHidden/>
              </w:rPr>
              <w:t>50</w:t>
            </w:r>
            <w:r>
              <w:rPr>
                <w:noProof/>
                <w:webHidden/>
              </w:rPr>
              <w:fldChar w:fldCharType="end"/>
            </w:r>
          </w:hyperlink>
        </w:p>
        <w:p w14:paraId="46DD394A" w14:textId="0FAA1AF1"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78" w:history="1">
            <w:r w:rsidRPr="00665685">
              <w:rPr>
                <w:rStyle w:val="Hyperlink"/>
                <w:noProof/>
              </w:rPr>
              <w:t>2.3 Accessibility Legislation</w:t>
            </w:r>
            <w:r>
              <w:rPr>
                <w:noProof/>
                <w:webHidden/>
              </w:rPr>
              <w:tab/>
            </w:r>
            <w:r>
              <w:rPr>
                <w:noProof/>
                <w:webHidden/>
              </w:rPr>
              <w:fldChar w:fldCharType="begin"/>
            </w:r>
            <w:r>
              <w:rPr>
                <w:noProof/>
                <w:webHidden/>
              </w:rPr>
              <w:instrText xml:space="preserve"> PAGEREF _Toc228867978 \h </w:instrText>
            </w:r>
            <w:r>
              <w:rPr>
                <w:noProof/>
                <w:webHidden/>
              </w:rPr>
            </w:r>
            <w:r>
              <w:rPr>
                <w:noProof/>
                <w:webHidden/>
              </w:rPr>
              <w:fldChar w:fldCharType="separate"/>
            </w:r>
            <w:r>
              <w:rPr>
                <w:noProof/>
                <w:webHidden/>
              </w:rPr>
              <w:t>52</w:t>
            </w:r>
            <w:r>
              <w:rPr>
                <w:noProof/>
                <w:webHidden/>
              </w:rPr>
              <w:fldChar w:fldCharType="end"/>
            </w:r>
          </w:hyperlink>
        </w:p>
        <w:p w14:paraId="2FEBA559" w14:textId="02AA140E"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79" w:history="1">
            <w:r w:rsidRPr="00665685">
              <w:rPr>
                <w:rStyle w:val="Hyperlink"/>
                <w:noProof/>
              </w:rPr>
              <w:t>2.3.1 History of Disability Legislation</w:t>
            </w:r>
            <w:r>
              <w:rPr>
                <w:noProof/>
                <w:webHidden/>
              </w:rPr>
              <w:tab/>
            </w:r>
            <w:r>
              <w:rPr>
                <w:noProof/>
                <w:webHidden/>
              </w:rPr>
              <w:fldChar w:fldCharType="begin"/>
            </w:r>
            <w:r>
              <w:rPr>
                <w:noProof/>
                <w:webHidden/>
              </w:rPr>
              <w:instrText xml:space="preserve"> PAGEREF _Toc228867979 \h </w:instrText>
            </w:r>
            <w:r>
              <w:rPr>
                <w:noProof/>
                <w:webHidden/>
              </w:rPr>
            </w:r>
            <w:r>
              <w:rPr>
                <w:noProof/>
                <w:webHidden/>
              </w:rPr>
              <w:fldChar w:fldCharType="separate"/>
            </w:r>
            <w:r>
              <w:rPr>
                <w:noProof/>
                <w:webHidden/>
              </w:rPr>
              <w:t>53</w:t>
            </w:r>
            <w:r>
              <w:rPr>
                <w:noProof/>
                <w:webHidden/>
              </w:rPr>
              <w:fldChar w:fldCharType="end"/>
            </w:r>
          </w:hyperlink>
        </w:p>
        <w:p w14:paraId="7E331C86" w14:textId="3637D491"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80" w:history="1">
            <w:r w:rsidRPr="00665685">
              <w:rPr>
                <w:rStyle w:val="Hyperlink"/>
                <w:noProof/>
              </w:rPr>
              <w:t>2.3.2 Shortcomings of Accessibility Legislation</w:t>
            </w:r>
            <w:r>
              <w:rPr>
                <w:noProof/>
                <w:webHidden/>
              </w:rPr>
              <w:tab/>
            </w:r>
            <w:r>
              <w:rPr>
                <w:noProof/>
                <w:webHidden/>
              </w:rPr>
              <w:fldChar w:fldCharType="begin"/>
            </w:r>
            <w:r>
              <w:rPr>
                <w:noProof/>
                <w:webHidden/>
              </w:rPr>
              <w:instrText xml:space="preserve"> PAGEREF _Toc228867980 \h </w:instrText>
            </w:r>
            <w:r>
              <w:rPr>
                <w:noProof/>
                <w:webHidden/>
              </w:rPr>
            </w:r>
            <w:r>
              <w:rPr>
                <w:noProof/>
                <w:webHidden/>
              </w:rPr>
              <w:fldChar w:fldCharType="separate"/>
            </w:r>
            <w:r>
              <w:rPr>
                <w:noProof/>
                <w:webHidden/>
              </w:rPr>
              <w:t>57</w:t>
            </w:r>
            <w:r>
              <w:rPr>
                <w:noProof/>
                <w:webHidden/>
              </w:rPr>
              <w:fldChar w:fldCharType="end"/>
            </w:r>
          </w:hyperlink>
        </w:p>
        <w:p w14:paraId="09DA2EAE" w14:textId="0A97F8F2"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7981" w:history="1">
            <w:r w:rsidRPr="00665685">
              <w:rPr>
                <w:rStyle w:val="Hyperlink"/>
                <w:noProof/>
              </w:rPr>
              <w:t>3 Method</w:t>
            </w:r>
            <w:r>
              <w:rPr>
                <w:noProof/>
                <w:webHidden/>
              </w:rPr>
              <w:tab/>
            </w:r>
            <w:r>
              <w:rPr>
                <w:noProof/>
                <w:webHidden/>
              </w:rPr>
              <w:fldChar w:fldCharType="begin"/>
            </w:r>
            <w:r>
              <w:rPr>
                <w:noProof/>
                <w:webHidden/>
              </w:rPr>
              <w:instrText xml:space="preserve"> PAGEREF _Toc228867981 \h </w:instrText>
            </w:r>
            <w:r>
              <w:rPr>
                <w:noProof/>
                <w:webHidden/>
              </w:rPr>
            </w:r>
            <w:r>
              <w:rPr>
                <w:noProof/>
                <w:webHidden/>
              </w:rPr>
              <w:fldChar w:fldCharType="separate"/>
            </w:r>
            <w:r>
              <w:rPr>
                <w:noProof/>
                <w:webHidden/>
              </w:rPr>
              <w:t>70</w:t>
            </w:r>
            <w:r>
              <w:rPr>
                <w:noProof/>
                <w:webHidden/>
              </w:rPr>
              <w:fldChar w:fldCharType="end"/>
            </w:r>
          </w:hyperlink>
        </w:p>
        <w:p w14:paraId="123D6F34" w14:textId="49EE1889"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82" w:history="1">
            <w:r w:rsidRPr="00665685">
              <w:rPr>
                <w:rStyle w:val="Hyperlink"/>
                <w:noProof/>
              </w:rPr>
              <w:t>3.1 Methodology</w:t>
            </w:r>
            <w:r>
              <w:rPr>
                <w:noProof/>
                <w:webHidden/>
              </w:rPr>
              <w:tab/>
            </w:r>
            <w:r>
              <w:rPr>
                <w:noProof/>
                <w:webHidden/>
              </w:rPr>
              <w:fldChar w:fldCharType="begin"/>
            </w:r>
            <w:r>
              <w:rPr>
                <w:noProof/>
                <w:webHidden/>
              </w:rPr>
              <w:instrText xml:space="preserve"> PAGEREF _Toc228867982 \h </w:instrText>
            </w:r>
            <w:r>
              <w:rPr>
                <w:noProof/>
                <w:webHidden/>
              </w:rPr>
            </w:r>
            <w:r>
              <w:rPr>
                <w:noProof/>
                <w:webHidden/>
              </w:rPr>
              <w:fldChar w:fldCharType="separate"/>
            </w:r>
            <w:r>
              <w:rPr>
                <w:noProof/>
                <w:webHidden/>
              </w:rPr>
              <w:t>73</w:t>
            </w:r>
            <w:r>
              <w:rPr>
                <w:noProof/>
                <w:webHidden/>
              </w:rPr>
              <w:fldChar w:fldCharType="end"/>
            </w:r>
          </w:hyperlink>
        </w:p>
        <w:p w14:paraId="59DFD4E3" w14:textId="296CBAA8"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83" w:history="1">
            <w:r w:rsidRPr="00665685">
              <w:rPr>
                <w:rStyle w:val="Hyperlink"/>
                <w:noProof/>
              </w:rPr>
              <w:t>3.1.1 Inclusive Design</w:t>
            </w:r>
            <w:r>
              <w:rPr>
                <w:noProof/>
                <w:webHidden/>
              </w:rPr>
              <w:tab/>
            </w:r>
            <w:r>
              <w:rPr>
                <w:noProof/>
                <w:webHidden/>
              </w:rPr>
              <w:fldChar w:fldCharType="begin"/>
            </w:r>
            <w:r>
              <w:rPr>
                <w:noProof/>
                <w:webHidden/>
              </w:rPr>
              <w:instrText xml:space="preserve"> PAGEREF _Toc228867983 \h </w:instrText>
            </w:r>
            <w:r>
              <w:rPr>
                <w:noProof/>
                <w:webHidden/>
              </w:rPr>
            </w:r>
            <w:r>
              <w:rPr>
                <w:noProof/>
                <w:webHidden/>
              </w:rPr>
              <w:fldChar w:fldCharType="separate"/>
            </w:r>
            <w:r>
              <w:rPr>
                <w:noProof/>
                <w:webHidden/>
              </w:rPr>
              <w:t>73</w:t>
            </w:r>
            <w:r>
              <w:rPr>
                <w:noProof/>
                <w:webHidden/>
              </w:rPr>
              <w:fldChar w:fldCharType="end"/>
            </w:r>
          </w:hyperlink>
        </w:p>
        <w:p w14:paraId="7AF6EEBD" w14:textId="296B100C"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84" w:history="1">
            <w:r w:rsidRPr="00665685">
              <w:rPr>
                <w:rStyle w:val="Hyperlink"/>
                <w:noProof/>
              </w:rPr>
              <w:t>3.1.2 Action Research</w:t>
            </w:r>
            <w:r>
              <w:rPr>
                <w:noProof/>
                <w:webHidden/>
              </w:rPr>
              <w:tab/>
            </w:r>
            <w:r>
              <w:rPr>
                <w:noProof/>
                <w:webHidden/>
              </w:rPr>
              <w:fldChar w:fldCharType="begin"/>
            </w:r>
            <w:r>
              <w:rPr>
                <w:noProof/>
                <w:webHidden/>
              </w:rPr>
              <w:instrText xml:space="preserve"> PAGEREF _Toc228867984 \h </w:instrText>
            </w:r>
            <w:r>
              <w:rPr>
                <w:noProof/>
                <w:webHidden/>
              </w:rPr>
            </w:r>
            <w:r>
              <w:rPr>
                <w:noProof/>
                <w:webHidden/>
              </w:rPr>
              <w:fldChar w:fldCharType="separate"/>
            </w:r>
            <w:r>
              <w:rPr>
                <w:noProof/>
                <w:webHidden/>
              </w:rPr>
              <w:t>87</w:t>
            </w:r>
            <w:r>
              <w:rPr>
                <w:noProof/>
                <w:webHidden/>
              </w:rPr>
              <w:fldChar w:fldCharType="end"/>
            </w:r>
          </w:hyperlink>
        </w:p>
        <w:p w14:paraId="6E31C68A" w14:textId="17DCA2E3"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85" w:history="1">
            <w:r w:rsidRPr="00665685">
              <w:rPr>
                <w:rStyle w:val="Hyperlink"/>
                <w:noProof/>
              </w:rPr>
              <w:t>3.2 Ethics</w:t>
            </w:r>
            <w:r>
              <w:rPr>
                <w:noProof/>
                <w:webHidden/>
              </w:rPr>
              <w:tab/>
            </w:r>
            <w:r>
              <w:rPr>
                <w:noProof/>
                <w:webHidden/>
              </w:rPr>
              <w:fldChar w:fldCharType="begin"/>
            </w:r>
            <w:r>
              <w:rPr>
                <w:noProof/>
                <w:webHidden/>
              </w:rPr>
              <w:instrText xml:space="preserve"> PAGEREF _Toc228867985 \h </w:instrText>
            </w:r>
            <w:r>
              <w:rPr>
                <w:noProof/>
                <w:webHidden/>
              </w:rPr>
            </w:r>
            <w:r>
              <w:rPr>
                <w:noProof/>
                <w:webHidden/>
              </w:rPr>
              <w:fldChar w:fldCharType="separate"/>
            </w:r>
            <w:r>
              <w:rPr>
                <w:noProof/>
                <w:webHidden/>
              </w:rPr>
              <w:t>92</w:t>
            </w:r>
            <w:r>
              <w:rPr>
                <w:noProof/>
                <w:webHidden/>
              </w:rPr>
              <w:fldChar w:fldCharType="end"/>
            </w:r>
          </w:hyperlink>
        </w:p>
        <w:p w14:paraId="069A7BF8" w14:textId="6C924965"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86" w:history="1">
            <w:r w:rsidRPr="00665685">
              <w:rPr>
                <w:rStyle w:val="Hyperlink"/>
                <w:noProof/>
              </w:rPr>
              <w:t>3.2.1 Project Recruitment</w:t>
            </w:r>
            <w:r>
              <w:rPr>
                <w:noProof/>
                <w:webHidden/>
              </w:rPr>
              <w:tab/>
            </w:r>
            <w:r>
              <w:rPr>
                <w:noProof/>
                <w:webHidden/>
              </w:rPr>
              <w:fldChar w:fldCharType="begin"/>
            </w:r>
            <w:r>
              <w:rPr>
                <w:noProof/>
                <w:webHidden/>
              </w:rPr>
              <w:instrText xml:space="preserve"> PAGEREF _Toc228867986 \h </w:instrText>
            </w:r>
            <w:r>
              <w:rPr>
                <w:noProof/>
                <w:webHidden/>
              </w:rPr>
            </w:r>
            <w:r>
              <w:rPr>
                <w:noProof/>
                <w:webHidden/>
              </w:rPr>
              <w:fldChar w:fldCharType="separate"/>
            </w:r>
            <w:r>
              <w:rPr>
                <w:noProof/>
                <w:webHidden/>
              </w:rPr>
              <w:t>92</w:t>
            </w:r>
            <w:r>
              <w:rPr>
                <w:noProof/>
                <w:webHidden/>
              </w:rPr>
              <w:fldChar w:fldCharType="end"/>
            </w:r>
          </w:hyperlink>
        </w:p>
        <w:p w14:paraId="6F9298DB" w14:textId="55E37D25"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87" w:history="1">
            <w:r w:rsidRPr="00665685">
              <w:rPr>
                <w:rStyle w:val="Hyperlink"/>
                <w:noProof/>
              </w:rPr>
              <w:t>3.2.2 Consent and confidentiality</w:t>
            </w:r>
            <w:r>
              <w:rPr>
                <w:noProof/>
                <w:webHidden/>
              </w:rPr>
              <w:tab/>
            </w:r>
            <w:r>
              <w:rPr>
                <w:noProof/>
                <w:webHidden/>
              </w:rPr>
              <w:fldChar w:fldCharType="begin"/>
            </w:r>
            <w:r>
              <w:rPr>
                <w:noProof/>
                <w:webHidden/>
              </w:rPr>
              <w:instrText xml:space="preserve"> PAGEREF _Toc228867987 \h </w:instrText>
            </w:r>
            <w:r>
              <w:rPr>
                <w:noProof/>
                <w:webHidden/>
              </w:rPr>
            </w:r>
            <w:r>
              <w:rPr>
                <w:noProof/>
                <w:webHidden/>
              </w:rPr>
              <w:fldChar w:fldCharType="separate"/>
            </w:r>
            <w:r>
              <w:rPr>
                <w:noProof/>
                <w:webHidden/>
              </w:rPr>
              <w:t>94</w:t>
            </w:r>
            <w:r>
              <w:rPr>
                <w:noProof/>
                <w:webHidden/>
              </w:rPr>
              <w:fldChar w:fldCharType="end"/>
            </w:r>
          </w:hyperlink>
        </w:p>
        <w:p w14:paraId="65FEF980" w14:textId="51349721"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88" w:history="1">
            <w:r w:rsidRPr="00665685">
              <w:rPr>
                <w:rStyle w:val="Hyperlink"/>
                <w:noProof/>
              </w:rPr>
              <w:t>3.2.3 Ethics committee approval</w:t>
            </w:r>
            <w:r>
              <w:rPr>
                <w:noProof/>
                <w:webHidden/>
              </w:rPr>
              <w:tab/>
            </w:r>
            <w:r>
              <w:rPr>
                <w:noProof/>
                <w:webHidden/>
              </w:rPr>
              <w:fldChar w:fldCharType="begin"/>
            </w:r>
            <w:r>
              <w:rPr>
                <w:noProof/>
                <w:webHidden/>
              </w:rPr>
              <w:instrText xml:space="preserve"> PAGEREF _Toc228867988 \h </w:instrText>
            </w:r>
            <w:r>
              <w:rPr>
                <w:noProof/>
                <w:webHidden/>
              </w:rPr>
            </w:r>
            <w:r>
              <w:rPr>
                <w:noProof/>
                <w:webHidden/>
              </w:rPr>
              <w:fldChar w:fldCharType="separate"/>
            </w:r>
            <w:r>
              <w:rPr>
                <w:noProof/>
                <w:webHidden/>
              </w:rPr>
              <w:t>95</w:t>
            </w:r>
            <w:r>
              <w:rPr>
                <w:noProof/>
                <w:webHidden/>
              </w:rPr>
              <w:fldChar w:fldCharType="end"/>
            </w:r>
          </w:hyperlink>
        </w:p>
        <w:p w14:paraId="01B68BBB" w14:textId="55CCAAB1"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89" w:history="1">
            <w:r w:rsidRPr="00665685">
              <w:rPr>
                <w:rStyle w:val="Hyperlink"/>
                <w:noProof/>
              </w:rPr>
              <w:t>3.3 Data collection process</w:t>
            </w:r>
            <w:r>
              <w:rPr>
                <w:noProof/>
                <w:webHidden/>
              </w:rPr>
              <w:tab/>
            </w:r>
            <w:r>
              <w:rPr>
                <w:noProof/>
                <w:webHidden/>
              </w:rPr>
              <w:fldChar w:fldCharType="begin"/>
            </w:r>
            <w:r>
              <w:rPr>
                <w:noProof/>
                <w:webHidden/>
              </w:rPr>
              <w:instrText xml:space="preserve"> PAGEREF _Toc228867989 \h </w:instrText>
            </w:r>
            <w:r>
              <w:rPr>
                <w:noProof/>
                <w:webHidden/>
              </w:rPr>
            </w:r>
            <w:r>
              <w:rPr>
                <w:noProof/>
                <w:webHidden/>
              </w:rPr>
              <w:fldChar w:fldCharType="separate"/>
            </w:r>
            <w:r>
              <w:rPr>
                <w:noProof/>
                <w:webHidden/>
              </w:rPr>
              <w:t>96</w:t>
            </w:r>
            <w:r>
              <w:rPr>
                <w:noProof/>
                <w:webHidden/>
              </w:rPr>
              <w:fldChar w:fldCharType="end"/>
            </w:r>
          </w:hyperlink>
        </w:p>
        <w:p w14:paraId="531B2B72" w14:textId="201B1680"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90" w:history="1">
            <w:r w:rsidRPr="00665685">
              <w:rPr>
                <w:rStyle w:val="Hyperlink"/>
                <w:noProof/>
              </w:rPr>
              <w:t>3.3.1 Phase 1</w:t>
            </w:r>
            <w:r>
              <w:rPr>
                <w:noProof/>
                <w:webHidden/>
              </w:rPr>
              <w:tab/>
            </w:r>
            <w:r>
              <w:rPr>
                <w:noProof/>
                <w:webHidden/>
              </w:rPr>
              <w:fldChar w:fldCharType="begin"/>
            </w:r>
            <w:r>
              <w:rPr>
                <w:noProof/>
                <w:webHidden/>
              </w:rPr>
              <w:instrText xml:space="preserve"> PAGEREF _Toc228867990 \h </w:instrText>
            </w:r>
            <w:r>
              <w:rPr>
                <w:noProof/>
                <w:webHidden/>
              </w:rPr>
            </w:r>
            <w:r>
              <w:rPr>
                <w:noProof/>
                <w:webHidden/>
              </w:rPr>
              <w:fldChar w:fldCharType="separate"/>
            </w:r>
            <w:r>
              <w:rPr>
                <w:noProof/>
                <w:webHidden/>
              </w:rPr>
              <w:t>97</w:t>
            </w:r>
            <w:r>
              <w:rPr>
                <w:noProof/>
                <w:webHidden/>
              </w:rPr>
              <w:fldChar w:fldCharType="end"/>
            </w:r>
          </w:hyperlink>
        </w:p>
        <w:p w14:paraId="545E9C31" w14:textId="50BA9F77"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91" w:history="1">
            <w:r w:rsidRPr="00665685">
              <w:rPr>
                <w:rStyle w:val="Hyperlink"/>
                <w:noProof/>
              </w:rPr>
              <w:t>3.3.2 Phase 2</w:t>
            </w:r>
            <w:r>
              <w:rPr>
                <w:noProof/>
                <w:webHidden/>
              </w:rPr>
              <w:tab/>
            </w:r>
            <w:r>
              <w:rPr>
                <w:noProof/>
                <w:webHidden/>
              </w:rPr>
              <w:fldChar w:fldCharType="begin"/>
            </w:r>
            <w:r>
              <w:rPr>
                <w:noProof/>
                <w:webHidden/>
              </w:rPr>
              <w:instrText xml:space="preserve"> PAGEREF _Toc228867991 \h </w:instrText>
            </w:r>
            <w:r>
              <w:rPr>
                <w:noProof/>
                <w:webHidden/>
              </w:rPr>
            </w:r>
            <w:r>
              <w:rPr>
                <w:noProof/>
                <w:webHidden/>
              </w:rPr>
              <w:fldChar w:fldCharType="separate"/>
            </w:r>
            <w:r>
              <w:rPr>
                <w:noProof/>
                <w:webHidden/>
              </w:rPr>
              <w:t>98</w:t>
            </w:r>
            <w:r>
              <w:rPr>
                <w:noProof/>
                <w:webHidden/>
              </w:rPr>
              <w:fldChar w:fldCharType="end"/>
            </w:r>
          </w:hyperlink>
        </w:p>
        <w:p w14:paraId="4C9AE43C" w14:textId="4E160E57"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92" w:history="1">
            <w:r w:rsidRPr="00665685">
              <w:rPr>
                <w:rStyle w:val="Hyperlink"/>
                <w:noProof/>
              </w:rPr>
              <w:t>3.4 Data Analysis</w:t>
            </w:r>
            <w:r>
              <w:rPr>
                <w:noProof/>
                <w:webHidden/>
              </w:rPr>
              <w:tab/>
            </w:r>
            <w:r>
              <w:rPr>
                <w:noProof/>
                <w:webHidden/>
              </w:rPr>
              <w:fldChar w:fldCharType="begin"/>
            </w:r>
            <w:r>
              <w:rPr>
                <w:noProof/>
                <w:webHidden/>
              </w:rPr>
              <w:instrText xml:space="preserve"> PAGEREF _Toc228867992 \h </w:instrText>
            </w:r>
            <w:r>
              <w:rPr>
                <w:noProof/>
                <w:webHidden/>
              </w:rPr>
            </w:r>
            <w:r>
              <w:rPr>
                <w:noProof/>
                <w:webHidden/>
              </w:rPr>
              <w:fldChar w:fldCharType="separate"/>
            </w:r>
            <w:r>
              <w:rPr>
                <w:noProof/>
                <w:webHidden/>
              </w:rPr>
              <w:t>99</w:t>
            </w:r>
            <w:r>
              <w:rPr>
                <w:noProof/>
                <w:webHidden/>
              </w:rPr>
              <w:fldChar w:fldCharType="end"/>
            </w:r>
          </w:hyperlink>
        </w:p>
        <w:p w14:paraId="6D32A2DE" w14:textId="556B35BF"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93" w:history="1">
            <w:r w:rsidRPr="00665685">
              <w:rPr>
                <w:rStyle w:val="Hyperlink"/>
                <w:noProof/>
              </w:rPr>
              <w:t>3.4.1 Phase 1</w:t>
            </w:r>
            <w:r>
              <w:rPr>
                <w:noProof/>
                <w:webHidden/>
              </w:rPr>
              <w:tab/>
            </w:r>
            <w:r>
              <w:rPr>
                <w:noProof/>
                <w:webHidden/>
              </w:rPr>
              <w:fldChar w:fldCharType="begin"/>
            </w:r>
            <w:r>
              <w:rPr>
                <w:noProof/>
                <w:webHidden/>
              </w:rPr>
              <w:instrText xml:space="preserve"> PAGEREF _Toc228867993 \h </w:instrText>
            </w:r>
            <w:r>
              <w:rPr>
                <w:noProof/>
                <w:webHidden/>
              </w:rPr>
            </w:r>
            <w:r>
              <w:rPr>
                <w:noProof/>
                <w:webHidden/>
              </w:rPr>
              <w:fldChar w:fldCharType="separate"/>
            </w:r>
            <w:r>
              <w:rPr>
                <w:noProof/>
                <w:webHidden/>
              </w:rPr>
              <w:t>99</w:t>
            </w:r>
            <w:r>
              <w:rPr>
                <w:noProof/>
                <w:webHidden/>
              </w:rPr>
              <w:fldChar w:fldCharType="end"/>
            </w:r>
          </w:hyperlink>
        </w:p>
        <w:p w14:paraId="4A9F0D04" w14:textId="679484C3"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94" w:history="1">
            <w:r w:rsidRPr="00665685">
              <w:rPr>
                <w:rStyle w:val="Hyperlink"/>
                <w:noProof/>
              </w:rPr>
              <w:t>3.4.2 Phase 2</w:t>
            </w:r>
            <w:r>
              <w:rPr>
                <w:noProof/>
                <w:webHidden/>
              </w:rPr>
              <w:tab/>
            </w:r>
            <w:r>
              <w:rPr>
                <w:noProof/>
                <w:webHidden/>
              </w:rPr>
              <w:fldChar w:fldCharType="begin"/>
            </w:r>
            <w:r>
              <w:rPr>
                <w:noProof/>
                <w:webHidden/>
              </w:rPr>
              <w:instrText xml:space="preserve"> PAGEREF _Toc228867994 \h </w:instrText>
            </w:r>
            <w:r>
              <w:rPr>
                <w:noProof/>
                <w:webHidden/>
              </w:rPr>
            </w:r>
            <w:r>
              <w:rPr>
                <w:noProof/>
                <w:webHidden/>
              </w:rPr>
              <w:fldChar w:fldCharType="separate"/>
            </w:r>
            <w:r>
              <w:rPr>
                <w:noProof/>
                <w:webHidden/>
              </w:rPr>
              <w:t>102</w:t>
            </w:r>
            <w:r>
              <w:rPr>
                <w:noProof/>
                <w:webHidden/>
              </w:rPr>
              <w:fldChar w:fldCharType="end"/>
            </w:r>
          </w:hyperlink>
        </w:p>
        <w:p w14:paraId="52C341B9" w14:textId="2DF169F6"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7995" w:history="1">
            <w:r w:rsidRPr="00665685">
              <w:rPr>
                <w:rStyle w:val="Hyperlink"/>
                <w:noProof/>
              </w:rPr>
              <w:t>4 Results</w:t>
            </w:r>
            <w:r>
              <w:rPr>
                <w:noProof/>
                <w:webHidden/>
              </w:rPr>
              <w:tab/>
            </w:r>
            <w:r>
              <w:rPr>
                <w:noProof/>
                <w:webHidden/>
              </w:rPr>
              <w:fldChar w:fldCharType="begin"/>
            </w:r>
            <w:r>
              <w:rPr>
                <w:noProof/>
                <w:webHidden/>
              </w:rPr>
              <w:instrText xml:space="preserve"> PAGEREF _Toc228867995 \h </w:instrText>
            </w:r>
            <w:r>
              <w:rPr>
                <w:noProof/>
                <w:webHidden/>
              </w:rPr>
            </w:r>
            <w:r>
              <w:rPr>
                <w:noProof/>
                <w:webHidden/>
              </w:rPr>
              <w:fldChar w:fldCharType="separate"/>
            </w:r>
            <w:r>
              <w:rPr>
                <w:noProof/>
                <w:webHidden/>
              </w:rPr>
              <w:t>103</w:t>
            </w:r>
            <w:r>
              <w:rPr>
                <w:noProof/>
                <w:webHidden/>
              </w:rPr>
              <w:fldChar w:fldCharType="end"/>
            </w:r>
          </w:hyperlink>
        </w:p>
        <w:p w14:paraId="27BD25EF" w14:textId="7EEEEAFC"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7996" w:history="1">
            <w:r w:rsidRPr="00665685">
              <w:rPr>
                <w:rStyle w:val="Hyperlink"/>
                <w:noProof/>
              </w:rPr>
              <w:t>4.1 Phase 1 Students</w:t>
            </w:r>
            <w:r>
              <w:rPr>
                <w:noProof/>
                <w:webHidden/>
              </w:rPr>
              <w:tab/>
            </w:r>
            <w:r>
              <w:rPr>
                <w:noProof/>
                <w:webHidden/>
              </w:rPr>
              <w:fldChar w:fldCharType="begin"/>
            </w:r>
            <w:r>
              <w:rPr>
                <w:noProof/>
                <w:webHidden/>
              </w:rPr>
              <w:instrText xml:space="preserve"> PAGEREF _Toc228867996 \h </w:instrText>
            </w:r>
            <w:r>
              <w:rPr>
                <w:noProof/>
                <w:webHidden/>
              </w:rPr>
            </w:r>
            <w:r>
              <w:rPr>
                <w:noProof/>
                <w:webHidden/>
              </w:rPr>
              <w:fldChar w:fldCharType="separate"/>
            </w:r>
            <w:r>
              <w:rPr>
                <w:noProof/>
                <w:webHidden/>
              </w:rPr>
              <w:t>103</w:t>
            </w:r>
            <w:r>
              <w:rPr>
                <w:noProof/>
                <w:webHidden/>
              </w:rPr>
              <w:fldChar w:fldCharType="end"/>
            </w:r>
          </w:hyperlink>
        </w:p>
        <w:p w14:paraId="1E64FF7E" w14:textId="299BF4A3"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97" w:history="1">
            <w:r w:rsidRPr="00665685">
              <w:rPr>
                <w:rStyle w:val="Hyperlink"/>
                <w:noProof/>
              </w:rPr>
              <w:t>4.1.1 Formats</w:t>
            </w:r>
            <w:r>
              <w:rPr>
                <w:noProof/>
                <w:webHidden/>
              </w:rPr>
              <w:tab/>
            </w:r>
            <w:r>
              <w:rPr>
                <w:noProof/>
                <w:webHidden/>
              </w:rPr>
              <w:fldChar w:fldCharType="begin"/>
            </w:r>
            <w:r>
              <w:rPr>
                <w:noProof/>
                <w:webHidden/>
              </w:rPr>
              <w:instrText xml:space="preserve"> PAGEREF _Toc228867997 \h </w:instrText>
            </w:r>
            <w:r>
              <w:rPr>
                <w:noProof/>
                <w:webHidden/>
              </w:rPr>
            </w:r>
            <w:r>
              <w:rPr>
                <w:noProof/>
                <w:webHidden/>
              </w:rPr>
              <w:fldChar w:fldCharType="separate"/>
            </w:r>
            <w:r>
              <w:rPr>
                <w:noProof/>
                <w:webHidden/>
              </w:rPr>
              <w:t>103</w:t>
            </w:r>
            <w:r>
              <w:rPr>
                <w:noProof/>
                <w:webHidden/>
              </w:rPr>
              <w:fldChar w:fldCharType="end"/>
            </w:r>
          </w:hyperlink>
        </w:p>
        <w:p w14:paraId="23AA4B0F" w14:textId="5828075F"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98" w:history="1">
            <w:r w:rsidRPr="00665685">
              <w:rPr>
                <w:rStyle w:val="Hyperlink"/>
                <w:noProof/>
              </w:rPr>
              <w:t>4.1.2 Time</w:t>
            </w:r>
            <w:r>
              <w:rPr>
                <w:noProof/>
                <w:webHidden/>
              </w:rPr>
              <w:tab/>
            </w:r>
            <w:r>
              <w:rPr>
                <w:noProof/>
                <w:webHidden/>
              </w:rPr>
              <w:fldChar w:fldCharType="begin"/>
            </w:r>
            <w:r>
              <w:rPr>
                <w:noProof/>
                <w:webHidden/>
              </w:rPr>
              <w:instrText xml:space="preserve"> PAGEREF _Toc228867998 \h </w:instrText>
            </w:r>
            <w:r>
              <w:rPr>
                <w:noProof/>
                <w:webHidden/>
              </w:rPr>
            </w:r>
            <w:r>
              <w:rPr>
                <w:noProof/>
                <w:webHidden/>
              </w:rPr>
              <w:fldChar w:fldCharType="separate"/>
            </w:r>
            <w:r>
              <w:rPr>
                <w:noProof/>
                <w:webHidden/>
              </w:rPr>
              <w:t>109</w:t>
            </w:r>
            <w:r>
              <w:rPr>
                <w:noProof/>
                <w:webHidden/>
              </w:rPr>
              <w:fldChar w:fldCharType="end"/>
            </w:r>
          </w:hyperlink>
        </w:p>
        <w:p w14:paraId="570E4076" w14:textId="7A2F0470"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7999" w:history="1">
            <w:r w:rsidRPr="00665685">
              <w:rPr>
                <w:rStyle w:val="Hyperlink"/>
                <w:noProof/>
              </w:rPr>
              <w:t>4.1.3 Student Experience</w:t>
            </w:r>
            <w:r>
              <w:rPr>
                <w:noProof/>
                <w:webHidden/>
              </w:rPr>
              <w:tab/>
            </w:r>
            <w:r>
              <w:rPr>
                <w:noProof/>
                <w:webHidden/>
              </w:rPr>
              <w:fldChar w:fldCharType="begin"/>
            </w:r>
            <w:r>
              <w:rPr>
                <w:noProof/>
                <w:webHidden/>
              </w:rPr>
              <w:instrText xml:space="preserve"> PAGEREF _Toc228867999 \h </w:instrText>
            </w:r>
            <w:r>
              <w:rPr>
                <w:noProof/>
                <w:webHidden/>
              </w:rPr>
            </w:r>
            <w:r>
              <w:rPr>
                <w:noProof/>
                <w:webHidden/>
              </w:rPr>
              <w:fldChar w:fldCharType="separate"/>
            </w:r>
            <w:r>
              <w:rPr>
                <w:noProof/>
                <w:webHidden/>
              </w:rPr>
              <w:t>112</w:t>
            </w:r>
            <w:r>
              <w:rPr>
                <w:noProof/>
                <w:webHidden/>
              </w:rPr>
              <w:fldChar w:fldCharType="end"/>
            </w:r>
          </w:hyperlink>
        </w:p>
        <w:p w14:paraId="58CBC9AE" w14:textId="7F91FF89"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8000" w:history="1">
            <w:r w:rsidRPr="00665685">
              <w:rPr>
                <w:rStyle w:val="Hyperlink"/>
                <w:noProof/>
              </w:rPr>
              <w:t>4.1.4 Solutions</w:t>
            </w:r>
            <w:r>
              <w:rPr>
                <w:noProof/>
                <w:webHidden/>
              </w:rPr>
              <w:tab/>
            </w:r>
            <w:r>
              <w:rPr>
                <w:noProof/>
                <w:webHidden/>
              </w:rPr>
              <w:fldChar w:fldCharType="begin"/>
            </w:r>
            <w:r>
              <w:rPr>
                <w:noProof/>
                <w:webHidden/>
              </w:rPr>
              <w:instrText xml:space="preserve"> PAGEREF _Toc228868000 \h </w:instrText>
            </w:r>
            <w:r>
              <w:rPr>
                <w:noProof/>
                <w:webHidden/>
              </w:rPr>
            </w:r>
            <w:r>
              <w:rPr>
                <w:noProof/>
                <w:webHidden/>
              </w:rPr>
              <w:fldChar w:fldCharType="separate"/>
            </w:r>
            <w:r>
              <w:rPr>
                <w:noProof/>
                <w:webHidden/>
              </w:rPr>
              <w:t>115</w:t>
            </w:r>
            <w:r>
              <w:rPr>
                <w:noProof/>
                <w:webHidden/>
              </w:rPr>
              <w:fldChar w:fldCharType="end"/>
            </w:r>
          </w:hyperlink>
        </w:p>
        <w:p w14:paraId="1D04F7BF" w14:textId="266ACBE4"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01" w:history="1">
            <w:r w:rsidRPr="00665685">
              <w:rPr>
                <w:rStyle w:val="Hyperlink"/>
                <w:noProof/>
              </w:rPr>
              <w:t>4.2 Phase 2 Staff</w:t>
            </w:r>
            <w:r>
              <w:rPr>
                <w:noProof/>
                <w:webHidden/>
              </w:rPr>
              <w:tab/>
            </w:r>
            <w:r>
              <w:rPr>
                <w:noProof/>
                <w:webHidden/>
              </w:rPr>
              <w:fldChar w:fldCharType="begin"/>
            </w:r>
            <w:r>
              <w:rPr>
                <w:noProof/>
                <w:webHidden/>
              </w:rPr>
              <w:instrText xml:space="preserve"> PAGEREF _Toc228868001 \h </w:instrText>
            </w:r>
            <w:r>
              <w:rPr>
                <w:noProof/>
                <w:webHidden/>
              </w:rPr>
            </w:r>
            <w:r>
              <w:rPr>
                <w:noProof/>
                <w:webHidden/>
              </w:rPr>
              <w:fldChar w:fldCharType="separate"/>
            </w:r>
            <w:r>
              <w:rPr>
                <w:noProof/>
                <w:webHidden/>
              </w:rPr>
              <w:t>119</w:t>
            </w:r>
            <w:r>
              <w:rPr>
                <w:noProof/>
                <w:webHidden/>
              </w:rPr>
              <w:fldChar w:fldCharType="end"/>
            </w:r>
          </w:hyperlink>
        </w:p>
        <w:p w14:paraId="62A12490" w14:textId="6C65EA79" w:rsidR="00305C0E" w:rsidRDefault="00305C0E">
          <w:pPr>
            <w:pStyle w:val="TOC4"/>
            <w:tabs>
              <w:tab w:val="right" w:leader="dot" w:pos="9350"/>
            </w:tabs>
            <w:rPr>
              <w:rFonts w:eastAsiaTheme="minorEastAsia" w:cstheme="minorBidi"/>
              <w:noProof/>
              <w:kern w:val="2"/>
              <w:lang w:eastAsia="zh-CN"/>
              <w14:ligatures w14:val="standardContextual"/>
            </w:rPr>
          </w:pPr>
          <w:hyperlink w:anchor="_Toc228868002" w:history="1">
            <w:r w:rsidRPr="00665685">
              <w:rPr>
                <w:rStyle w:val="Hyperlink"/>
                <w:noProof/>
              </w:rPr>
              <w:t>Text Responses</w:t>
            </w:r>
            <w:r>
              <w:rPr>
                <w:noProof/>
                <w:webHidden/>
              </w:rPr>
              <w:tab/>
            </w:r>
            <w:r>
              <w:rPr>
                <w:noProof/>
                <w:webHidden/>
              </w:rPr>
              <w:fldChar w:fldCharType="begin"/>
            </w:r>
            <w:r>
              <w:rPr>
                <w:noProof/>
                <w:webHidden/>
              </w:rPr>
              <w:instrText xml:space="preserve"> PAGEREF _Toc228868002 \h </w:instrText>
            </w:r>
            <w:r>
              <w:rPr>
                <w:noProof/>
                <w:webHidden/>
              </w:rPr>
            </w:r>
            <w:r>
              <w:rPr>
                <w:noProof/>
                <w:webHidden/>
              </w:rPr>
              <w:fldChar w:fldCharType="separate"/>
            </w:r>
            <w:r>
              <w:rPr>
                <w:noProof/>
                <w:webHidden/>
              </w:rPr>
              <w:t>121</w:t>
            </w:r>
            <w:r>
              <w:rPr>
                <w:noProof/>
                <w:webHidden/>
              </w:rPr>
              <w:fldChar w:fldCharType="end"/>
            </w:r>
          </w:hyperlink>
        </w:p>
        <w:p w14:paraId="5B04A1C5" w14:textId="00AB934F"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8003" w:history="1">
            <w:r w:rsidRPr="00665685">
              <w:rPr>
                <w:rStyle w:val="Hyperlink"/>
                <w:noProof/>
              </w:rPr>
              <w:t>5 Discussion</w:t>
            </w:r>
            <w:r>
              <w:rPr>
                <w:noProof/>
                <w:webHidden/>
              </w:rPr>
              <w:tab/>
            </w:r>
            <w:r>
              <w:rPr>
                <w:noProof/>
                <w:webHidden/>
              </w:rPr>
              <w:fldChar w:fldCharType="begin"/>
            </w:r>
            <w:r>
              <w:rPr>
                <w:noProof/>
                <w:webHidden/>
              </w:rPr>
              <w:instrText xml:space="preserve"> PAGEREF _Toc228868003 \h </w:instrText>
            </w:r>
            <w:r>
              <w:rPr>
                <w:noProof/>
                <w:webHidden/>
              </w:rPr>
            </w:r>
            <w:r>
              <w:rPr>
                <w:noProof/>
                <w:webHidden/>
              </w:rPr>
              <w:fldChar w:fldCharType="separate"/>
            </w:r>
            <w:r>
              <w:rPr>
                <w:noProof/>
                <w:webHidden/>
              </w:rPr>
              <w:t>124</w:t>
            </w:r>
            <w:r>
              <w:rPr>
                <w:noProof/>
                <w:webHidden/>
              </w:rPr>
              <w:fldChar w:fldCharType="end"/>
            </w:r>
          </w:hyperlink>
        </w:p>
        <w:p w14:paraId="5BBEED43" w14:textId="75B74887"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04" w:history="1">
            <w:r w:rsidRPr="00665685">
              <w:rPr>
                <w:rStyle w:val="Hyperlink"/>
                <w:noProof/>
              </w:rPr>
              <w:t>5.1 Formats Theme</w:t>
            </w:r>
            <w:r>
              <w:rPr>
                <w:noProof/>
                <w:webHidden/>
              </w:rPr>
              <w:tab/>
            </w:r>
            <w:r>
              <w:rPr>
                <w:noProof/>
                <w:webHidden/>
              </w:rPr>
              <w:fldChar w:fldCharType="begin"/>
            </w:r>
            <w:r>
              <w:rPr>
                <w:noProof/>
                <w:webHidden/>
              </w:rPr>
              <w:instrText xml:space="preserve"> PAGEREF _Toc228868004 \h </w:instrText>
            </w:r>
            <w:r>
              <w:rPr>
                <w:noProof/>
                <w:webHidden/>
              </w:rPr>
            </w:r>
            <w:r>
              <w:rPr>
                <w:noProof/>
                <w:webHidden/>
              </w:rPr>
              <w:fldChar w:fldCharType="separate"/>
            </w:r>
            <w:r>
              <w:rPr>
                <w:noProof/>
                <w:webHidden/>
              </w:rPr>
              <w:t>125</w:t>
            </w:r>
            <w:r>
              <w:rPr>
                <w:noProof/>
                <w:webHidden/>
              </w:rPr>
              <w:fldChar w:fldCharType="end"/>
            </w:r>
          </w:hyperlink>
        </w:p>
        <w:p w14:paraId="46A1165B" w14:textId="591A03B8"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05" w:history="1">
            <w:r w:rsidRPr="00665685">
              <w:rPr>
                <w:rStyle w:val="Hyperlink"/>
                <w:noProof/>
              </w:rPr>
              <w:t>5.2 Time Theme</w:t>
            </w:r>
            <w:r>
              <w:rPr>
                <w:noProof/>
                <w:webHidden/>
              </w:rPr>
              <w:tab/>
            </w:r>
            <w:r>
              <w:rPr>
                <w:noProof/>
                <w:webHidden/>
              </w:rPr>
              <w:fldChar w:fldCharType="begin"/>
            </w:r>
            <w:r>
              <w:rPr>
                <w:noProof/>
                <w:webHidden/>
              </w:rPr>
              <w:instrText xml:space="preserve"> PAGEREF _Toc228868005 \h </w:instrText>
            </w:r>
            <w:r>
              <w:rPr>
                <w:noProof/>
                <w:webHidden/>
              </w:rPr>
            </w:r>
            <w:r>
              <w:rPr>
                <w:noProof/>
                <w:webHidden/>
              </w:rPr>
              <w:fldChar w:fldCharType="separate"/>
            </w:r>
            <w:r>
              <w:rPr>
                <w:noProof/>
                <w:webHidden/>
              </w:rPr>
              <w:t>129</w:t>
            </w:r>
            <w:r>
              <w:rPr>
                <w:noProof/>
                <w:webHidden/>
              </w:rPr>
              <w:fldChar w:fldCharType="end"/>
            </w:r>
          </w:hyperlink>
        </w:p>
        <w:p w14:paraId="2CE373EE" w14:textId="62A95DE7"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06" w:history="1">
            <w:r w:rsidRPr="00665685">
              <w:rPr>
                <w:rStyle w:val="Hyperlink"/>
                <w:noProof/>
              </w:rPr>
              <w:t>5.3 Experience Theme</w:t>
            </w:r>
            <w:r>
              <w:rPr>
                <w:noProof/>
                <w:webHidden/>
              </w:rPr>
              <w:tab/>
            </w:r>
            <w:r>
              <w:rPr>
                <w:noProof/>
                <w:webHidden/>
              </w:rPr>
              <w:fldChar w:fldCharType="begin"/>
            </w:r>
            <w:r>
              <w:rPr>
                <w:noProof/>
                <w:webHidden/>
              </w:rPr>
              <w:instrText xml:space="preserve"> PAGEREF _Toc228868006 \h </w:instrText>
            </w:r>
            <w:r>
              <w:rPr>
                <w:noProof/>
                <w:webHidden/>
              </w:rPr>
            </w:r>
            <w:r>
              <w:rPr>
                <w:noProof/>
                <w:webHidden/>
              </w:rPr>
              <w:fldChar w:fldCharType="separate"/>
            </w:r>
            <w:r>
              <w:rPr>
                <w:noProof/>
                <w:webHidden/>
              </w:rPr>
              <w:t>132</w:t>
            </w:r>
            <w:r>
              <w:rPr>
                <w:noProof/>
                <w:webHidden/>
              </w:rPr>
              <w:fldChar w:fldCharType="end"/>
            </w:r>
          </w:hyperlink>
        </w:p>
        <w:p w14:paraId="2CE34741" w14:textId="6F528EFE"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07" w:history="1">
            <w:r w:rsidRPr="00665685">
              <w:rPr>
                <w:rStyle w:val="Hyperlink"/>
                <w:noProof/>
              </w:rPr>
              <w:t>5.4 Solutions Theme</w:t>
            </w:r>
            <w:r>
              <w:rPr>
                <w:noProof/>
                <w:webHidden/>
              </w:rPr>
              <w:tab/>
            </w:r>
            <w:r>
              <w:rPr>
                <w:noProof/>
                <w:webHidden/>
              </w:rPr>
              <w:fldChar w:fldCharType="begin"/>
            </w:r>
            <w:r>
              <w:rPr>
                <w:noProof/>
                <w:webHidden/>
              </w:rPr>
              <w:instrText xml:space="preserve"> PAGEREF _Toc228868007 \h </w:instrText>
            </w:r>
            <w:r>
              <w:rPr>
                <w:noProof/>
                <w:webHidden/>
              </w:rPr>
            </w:r>
            <w:r>
              <w:rPr>
                <w:noProof/>
                <w:webHidden/>
              </w:rPr>
              <w:fldChar w:fldCharType="separate"/>
            </w:r>
            <w:r>
              <w:rPr>
                <w:noProof/>
                <w:webHidden/>
              </w:rPr>
              <w:t>135</w:t>
            </w:r>
            <w:r>
              <w:rPr>
                <w:noProof/>
                <w:webHidden/>
              </w:rPr>
              <w:fldChar w:fldCharType="end"/>
            </w:r>
          </w:hyperlink>
        </w:p>
        <w:p w14:paraId="263161A1" w14:textId="5CC4D2BA"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08" w:history="1">
            <w:r w:rsidRPr="00665685">
              <w:rPr>
                <w:rStyle w:val="Hyperlink"/>
                <w:noProof/>
              </w:rPr>
              <w:t>5.5 Implications</w:t>
            </w:r>
            <w:r>
              <w:rPr>
                <w:noProof/>
                <w:webHidden/>
              </w:rPr>
              <w:tab/>
            </w:r>
            <w:r>
              <w:rPr>
                <w:noProof/>
                <w:webHidden/>
              </w:rPr>
              <w:fldChar w:fldCharType="begin"/>
            </w:r>
            <w:r>
              <w:rPr>
                <w:noProof/>
                <w:webHidden/>
              </w:rPr>
              <w:instrText xml:space="preserve"> PAGEREF _Toc228868008 \h </w:instrText>
            </w:r>
            <w:r>
              <w:rPr>
                <w:noProof/>
                <w:webHidden/>
              </w:rPr>
            </w:r>
            <w:r>
              <w:rPr>
                <w:noProof/>
                <w:webHidden/>
              </w:rPr>
              <w:fldChar w:fldCharType="separate"/>
            </w:r>
            <w:r>
              <w:rPr>
                <w:noProof/>
                <w:webHidden/>
              </w:rPr>
              <w:t>138</w:t>
            </w:r>
            <w:r>
              <w:rPr>
                <w:noProof/>
                <w:webHidden/>
              </w:rPr>
              <w:fldChar w:fldCharType="end"/>
            </w:r>
          </w:hyperlink>
        </w:p>
        <w:p w14:paraId="4F7B2F3C" w14:textId="5763CB27"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09" w:history="1">
            <w:r w:rsidRPr="00665685">
              <w:rPr>
                <w:rStyle w:val="Hyperlink"/>
                <w:noProof/>
              </w:rPr>
              <w:t>5.6 Strengths and Limitations</w:t>
            </w:r>
            <w:r>
              <w:rPr>
                <w:noProof/>
                <w:webHidden/>
              </w:rPr>
              <w:tab/>
            </w:r>
            <w:r>
              <w:rPr>
                <w:noProof/>
                <w:webHidden/>
              </w:rPr>
              <w:fldChar w:fldCharType="begin"/>
            </w:r>
            <w:r>
              <w:rPr>
                <w:noProof/>
                <w:webHidden/>
              </w:rPr>
              <w:instrText xml:space="preserve"> PAGEREF _Toc228868009 \h </w:instrText>
            </w:r>
            <w:r>
              <w:rPr>
                <w:noProof/>
                <w:webHidden/>
              </w:rPr>
            </w:r>
            <w:r>
              <w:rPr>
                <w:noProof/>
                <w:webHidden/>
              </w:rPr>
              <w:fldChar w:fldCharType="separate"/>
            </w:r>
            <w:r>
              <w:rPr>
                <w:noProof/>
                <w:webHidden/>
              </w:rPr>
              <w:t>140</w:t>
            </w:r>
            <w:r>
              <w:rPr>
                <w:noProof/>
                <w:webHidden/>
              </w:rPr>
              <w:fldChar w:fldCharType="end"/>
            </w:r>
          </w:hyperlink>
        </w:p>
        <w:p w14:paraId="43CFF128" w14:textId="77EFFAB6"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8010" w:history="1">
            <w:r w:rsidRPr="00665685">
              <w:rPr>
                <w:rStyle w:val="Hyperlink"/>
                <w:noProof/>
              </w:rPr>
              <w:t>6 Conclusion</w:t>
            </w:r>
            <w:r>
              <w:rPr>
                <w:noProof/>
                <w:webHidden/>
              </w:rPr>
              <w:tab/>
            </w:r>
            <w:r>
              <w:rPr>
                <w:noProof/>
                <w:webHidden/>
              </w:rPr>
              <w:fldChar w:fldCharType="begin"/>
            </w:r>
            <w:r>
              <w:rPr>
                <w:noProof/>
                <w:webHidden/>
              </w:rPr>
              <w:instrText xml:space="preserve"> PAGEREF _Toc228868010 \h </w:instrText>
            </w:r>
            <w:r>
              <w:rPr>
                <w:noProof/>
                <w:webHidden/>
              </w:rPr>
            </w:r>
            <w:r>
              <w:rPr>
                <w:noProof/>
                <w:webHidden/>
              </w:rPr>
              <w:fldChar w:fldCharType="separate"/>
            </w:r>
            <w:r>
              <w:rPr>
                <w:noProof/>
                <w:webHidden/>
              </w:rPr>
              <w:t>142</w:t>
            </w:r>
            <w:r>
              <w:rPr>
                <w:noProof/>
                <w:webHidden/>
              </w:rPr>
              <w:fldChar w:fldCharType="end"/>
            </w:r>
          </w:hyperlink>
        </w:p>
        <w:p w14:paraId="1B6355A3" w14:textId="50DC6AF2"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8011" w:history="1">
            <w:r w:rsidRPr="00665685">
              <w:rPr>
                <w:rStyle w:val="Hyperlink"/>
                <w:noProof/>
              </w:rPr>
              <w:t>References</w:t>
            </w:r>
            <w:r>
              <w:rPr>
                <w:noProof/>
                <w:webHidden/>
              </w:rPr>
              <w:tab/>
            </w:r>
            <w:r>
              <w:rPr>
                <w:noProof/>
                <w:webHidden/>
              </w:rPr>
              <w:fldChar w:fldCharType="begin"/>
            </w:r>
            <w:r>
              <w:rPr>
                <w:noProof/>
                <w:webHidden/>
              </w:rPr>
              <w:instrText xml:space="preserve"> PAGEREF _Toc228868011 \h </w:instrText>
            </w:r>
            <w:r>
              <w:rPr>
                <w:noProof/>
                <w:webHidden/>
              </w:rPr>
            </w:r>
            <w:r>
              <w:rPr>
                <w:noProof/>
                <w:webHidden/>
              </w:rPr>
              <w:fldChar w:fldCharType="separate"/>
            </w:r>
            <w:r>
              <w:rPr>
                <w:noProof/>
                <w:webHidden/>
              </w:rPr>
              <w:t>143</w:t>
            </w:r>
            <w:r>
              <w:rPr>
                <w:noProof/>
                <w:webHidden/>
              </w:rPr>
              <w:fldChar w:fldCharType="end"/>
            </w:r>
          </w:hyperlink>
        </w:p>
        <w:p w14:paraId="4CD91A57" w14:textId="14839692" w:rsidR="00305C0E" w:rsidRDefault="00305C0E">
          <w:pPr>
            <w:pStyle w:val="TOC2"/>
            <w:tabs>
              <w:tab w:val="right" w:leader="dot" w:pos="9350"/>
            </w:tabs>
            <w:rPr>
              <w:rFonts w:eastAsiaTheme="minorEastAsia" w:cstheme="minorBidi"/>
              <w:noProof/>
              <w:kern w:val="2"/>
              <w:lang w:eastAsia="zh-CN"/>
              <w14:ligatures w14:val="standardContextual"/>
            </w:rPr>
          </w:pPr>
          <w:hyperlink w:anchor="_Toc228868012" w:history="1">
            <w:r w:rsidRPr="00665685">
              <w:rPr>
                <w:rStyle w:val="Hyperlink"/>
                <w:noProof/>
              </w:rPr>
              <w:t>Appendices</w:t>
            </w:r>
            <w:r>
              <w:rPr>
                <w:noProof/>
                <w:webHidden/>
              </w:rPr>
              <w:tab/>
            </w:r>
            <w:r>
              <w:rPr>
                <w:noProof/>
                <w:webHidden/>
              </w:rPr>
              <w:fldChar w:fldCharType="begin"/>
            </w:r>
            <w:r>
              <w:rPr>
                <w:noProof/>
                <w:webHidden/>
              </w:rPr>
              <w:instrText xml:space="preserve"> PAGEREF _Toc228868012 \h </w:instrText>
            </w:r>
            <w:r>
              <w:rPr>
                <w:noProof/>
                <w:webHidden/>
              </w:rPr>
            </w:r>
            <w:r>
              <w:rPr>
                <w:noProof/>
                <w:webHidden/>
              </w:rPr>
              <w:fldChar w:fldCharType="separate"/>
            </w:r>
            <w:r>
              <w:rPr>
                <w:noProof/>
                <w:webHidden/>
              </w:rPr>
              <w:t>173</w:t>
            </w:r>
            <w:r>
              <w:rPr>
                <w:noProof/>
                <w:webHidden/>
              </w:rPr>
              <w:fldChar w:fldCharType="end"/>
            </w:r>
          </w:hyperlink>
        </w:p>
        <w:p w14:paraId="3FD46A6D" w14:textId="4699E263"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13" w:history="1">
            <w:r w:rsidRPr="00665685">
              <w:rPr>
                <w:rStyle w:val="Hyperlink"/>
                <w:noProof/>
              </w:rPr>
              <w:t>Appendix A: Student Consent Form</w:t>
            </w:r>
            <w:r>
              <w:rPr>
                <w:noProof/>
                <w:webHidden/>
              </w:rPr>
              <w:tab/>
            </w:r>
            <w:r>
              <w:rPr>
                <w:noProof/>
                <w:webHidden/>
              </w:rPr>
              <w:fldChar w:fldCharType="begin"/>
            </w:r>
            <w:r>
              <w:rPr>
                <w:noProof/>
                <w:webHidden/>
              </w:rPr>
              <w:instrText xml:space="preserve"> PAGEREF _Toc228868013 \h </w:instrText>
            </w:r>
            <w:r>
              <w:rPr>
                <w:noProof/>
                <w:webHidden/>
              </w:rPr>
            </w:r>
            <w:r>
              <w:rPr>
                <w:noProof/>
                <w:webHidden/>
              </w:rPr>
              <w:fldChar w:fldCharType="separate"/>
            </w:r>
            <w:r>
              <w:rPr>
                <w:noProof/>
                <w:webHidden/>
              </w:rPr>
              <w:t>173</w:t>
            </w:r>
            <w:r>
              <w:rPr>
                <w:noProof/>
                <w:webHidden/>
              </w:rPr>
              <w:fldChar w:fldCharType="end"/>
            </w:r>
          </w:hyperlink>
        </w:p>
        <w:p w14:paraId="5303A3E0" w14:textId="3B113C4A"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14" w:history="1">
            <w:r w:rsidRPr="00665685">
              <w:rPr>
                <w:rStyle w:val="Hyperlink"/>
                <w:noProof/>
              </w:rPr>
              <w:t>Appendix B: Employee Consent Form and Survey Questions</w:t>
            </w:r>
            <w:r>
              <w:rPr>
                <w:noProof/>
                <w:webHidden/>
              </w:rPr>
              <w:tab/>
            </w:r>
            <w:r>
              <w:rPr>
                <w:noProof/>
                <w:webHidden/>
              </w:rPr>
              <w:fldChar w:fldCharType="begin"/>
            </w:r>
            <w:r>
              <w:rPr>
                <w:noProof/>
                <w:webHidden/>
              </w:rPr>
              <w:instrText xml:space="preserve"> PAGEREF _Toc228868014 \h </w:instrText>
            </w:r>
            <w:r>
              <w:rPr>
                <w:noProof/>
                <w:webHidden/>
              </w:rPr>
            </w:r>
            <w:r>
              <w:rPr>
                <w:noProof/>
                <w:webHidden/>
              </w:rPr>
              <w:fldChar w:fldCharType="separate"/>
            </w:r>
            <w:r>
              <w:rPr>
                <w:noProof/>
                <w:webHidden/>
              </w:rPr>
              <w:t>179</w:t>
            </w:r>
            <w:r>
              <w:rPr>
                <w:noProof/>
                <w:webHidden/>
              </w:rPr>
              <w:fldChar w:fldCharType="end"/>
            </w:r>
          </w:hyperlink>
        </w:p>
        <w:p w14:paraId="4DB29EC4" w14:textId="5E8B3429"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15" w:history="1">
            <w:r w:rsidRPr="00665685">
              <w:rPr>
                <w:rStyle w:val="Hyperlink"/>
                <w:noProof/>
              </w:rPr>
              <w:t>Appendix C: Student Interview Script</w:t>
            </w:r>
            <w:r>
              <w:rPr>
                <w:noProof/>
                <w:webHidden/>
              </w:rPr>
              <w:tab/>
            </w:r>
            <w:r>
              <w:rPr>
                <w:noProof/>
                <w:webHidden/>
              </w:rPr>
              <w:fldChar w:fldCharType="begin"/>
            </w:r>
            <w:r>
              <w:rPr>
                <w:noProof/>
                <w:webHidden/>
              </w:rPr>
              <w:instrText xml:space="preserve"> PAGEREF _Toc228868015 \h </w:instrText>
            </w:r>
            <w:r>
              <w:rPr>
                <w:noProof/>
                <w:webHidden/>
              </w:rPr>
            </w:r>
            <w:r>
              <w:rPr>
                <w:noProof/>
                <w:webHidden/>
              </w:rPr>
              <w:fldChar w:fldCharType="separate"/>
            </w:r>
            <w:r>
              <w:rPr>
                <w:noProof/>
                <w:webHidden/>
              </w:rPr>
              <w:t>183</w:t>
            </w:r>
            <w:r>
              <w:rPr>
                <w:noProof/>
                <w:webHidden/>
              </w:rPr>
              <w:fldChar w:fldCharType="end"/>
            </w:r>
          </w:hyperlink>
        </w:p>
        <w:p w14:paraId="5881AF9A" w14:textId="13A90779" w:rsidR="00305C0E" w:rsidRDefault="00305C0E">
          <w:pPr>
            <w:pStyle w:val="TOC3"/>
            <w:tabs>
              <w:tab w:val="right" w:leader="dot" w:pos="9350"/>
            </w:tabs>
            <w:rPr>
              <w:rFonts w:eastAsiaTheme="minorEastAsia" w:cstheme="minorBidi"/>
              <w:noProof/>
              <w:kern w:val="2"/>
              <w:lang w:eastAsia="zh-CN"/>
              <w14:ligatures w14:val="standardContextual"/>
            </w:rPr>
          </w:pPr>
          <w:hyperlink w:anchor="_Toc228868016" w:history="1">
            <w:r w:rsidRPr="00665685">
              <w:rPr>
                <w:rStyle w:val="Hyperlink"/>
                <w:noProof/>
              </w:rPr>
              <w:t>Appendix D: Codebook</w:t>
            </w:r>
            <w:r>
              <w:rPr>
                <w:noProof/>
                <w:webHidden/>
              </w:rPr>
              <w:tab/>
            </w:r>
            <w:r>
              <w:rPr>
                <w:noProof/>
                <w:webHidden/>
              </w:rPr>
              <w:fldChar w:fldCharType="begin"/>
            </w:r>
            <w:r>
              <w:rPr>
                <w:noProof/>
                <w:webHidden/>
              </w:rPr>
              <w:instrText xml:space="preserve"> PAGEREF _Toc228868016 \h </w:instrText>
            </w:r>
            <w:r>
              <w:rPr>
                <w:noProof/>
                <w:webHidden/>
              </w:rPr>
            </w:r>
            <w:r>
              <w:rPr>
                <w:noProof/>
                <w:webHidden/>
              </w:rPr>
              <w:fldChar w:fldCharType="separate"/>
            </w:r>
            <w:r>
              <w:rPr>
                <w:noProof/>
                <w:webHidden/>
              </w:rPr>
              <w:t>195</w:t>
            </w:r>
            <w:r>
              <w:rPr>
                <w:noProof/>
                <w:webHidden/>
              </w:rPr>
              <w:fldChar w:fldCharType="end"/>
            </w:r>
          </w:hyperlink>
        </w:p>
        <w:p w14:paraId="0BC418E7" w14:textId="023A7E17" w:rsidR="00AF4A14" w:rsidRPr="00D13B67" w:rsidRDefault="00C42776">
          <w:r w:rsidRPr="00D13B67">
            <w:fldChar w:fldCharType="end"/>
          </w:r>
        </w:p>
      </w:sdtContent>
    </w:sdt>
    <w:p w14:paraId="5D9963E2" w14:textId="77777777" w:rsidR="00717957" w:rsidRPr="00D13B67" w:rsidRDefault="00717957" w:rsidP="00717957"/>
    <w:p w14:paraId="7D383D2B" w14:textId="77777777" w:rsidR="61D36089" w:rsidRPr="00D13B67" w:rsidRDefault="61D36089">
      <w:r w:rsidRPr="00D13B67">
        <w:br w:type="page"/>
      </w:r>
    </w:p>
    <w:p w14:paraId="718F92F4" w14:textId="5F9D98C5" w:rsidR="0AD0AFD7" w:rsidRPr="00D13B67" w:rsidRDefault="0AD0AFD7" w:rsidP="61D36089">
      <w:pPr>
        <w:pStyle w:val="Heading2"/>
      </w:pPr>
      <w:bookmarkStart w:id="6" w:name="_Toc228867961"/>
      <w:r w:rsidRPr="00D13B67">
        <w:lastRenderedPageBreak/>
        <w:t>List of Tables</w:t>
      </w:r>
      <w:r w:rsidR="004F02FE" w:rsidRPr="00D13B67">
        <w:t xml:space="preserve"> and</w:t>
      </w:r>
      <w:r w:rsidRPr="00D13B67">
        <w:t xml:space="preserve"> Figures</w:t>
      </w:r>
      <w:bookmarkEnd w:id="6"/>
    </w:p>
    <w:p w14:paraId="6DC30B1A" w14:textId="77777777" w:rsidR="007E32C4" w:rsidRPr="00D13B67" w:rsidRDefault="007E32C4" w:rsidP="007E32C4">
      <w:pPr>
        <w:pStyle w:val="Heading3"/>
      </w:pPr>
      <w:bookmarkStart w:id="7" w:name="_Toc228867962"/>
      <w:r w:rsidRPr="00D13B67">
        <w:t>Tables</w:t>
      </w:r>
      <w:bookmarkEnd w:id="7"/>
    </w:p>
    <w:p w14:paraId="75576C0A" w14:textId="76EFED1B" w:rsidR="00305C0E" w:rsidRDefault="004F02FE">
      <w:pPr>
        <w:pStyle w:val="TableofFigures"/>
        <w:tabs>
          <w:tab w:val="right" w:leader="dot" w:pos="9350"/>
        </w:tabs>
        <w:rPr>
          <w:rFonts w:eastAsiaTheme="minorEastAsia" w:cstheme="minorBidi"/>
          <w:noProof/>
          <w:kern w:val="2"/>
          <w:lang w:eastAsia="zh-CN"/>
          <w14:ligatures w14:val="standardContextual"/>
        </w:rPr>
      </w:pPr>
      <w:r w:rsidRPr="00D13B67">
        <w:fldChar w:fldCharType="begin"/>
      </w:r>
      <w:r w:rsidRPr="00D13B67">
        <w:instrText xml:space="preserve"> TOC \h \z \c "Table" </w:instrText>
      </w:r>
      <w:r w:rsidRPr="00D13B67">
        <w:fldChar w:fldCharType="separate"/>
      </w:r>
      <w:hyperlink w:anchor="_Toc228868023" w:history="1">
        <w:r w:rsidR="00305C0E" w:rsidRPr="001767D9">
          <w:rPr>
            <w:rStyle w:val="Hyperlink"/>
            <w:noProof/>
          </w:rPr>
          <w:t>Table 1: Co-designers perceptions of various file formats</w:t>
        </w:r>
        <w:r w:rsidR="00305C0E">
          <w:rPr>
            <w:noProof/>
            <w:webHidden/>
          </w:rPr>
          <w:tab/>
        </w:r>
        <w:r w:rsidR="00305C0E">
          <w:rPr>
            <w:noProof/>
            <w:webHidden/>
          </w:rPr>
          <w:fldChar w:fldCharType="begin"/>
        </w:r>
        <w:r w:rsidR="00305C0E">
          <w:rPr>
            <w:noProof/>
            <w:webHidden/>
          </w:rPr>
          <w:instrText xml:space="preserve"> PAGEREF _Toc228868023 \h </w:instrText>
        </w:r>
        <w:r w:rsidR="00305C0E">
          <w:rPr>
            <w:noProof/>
            <w:webHidden/>
          </w:rPr>
        </w:r>
        <w:r w:rsidR="00305C0E">
          <w:rPr>
            <w:noProof/>
            <w:webHidden/>
          </w:rPr>
          <w:fldChar w:fldCharType="separate"/>
        </w:r>
        <w:r w:rsidR="00305C0E">
          <w:rPr>
            <w:noProof/>
            <w:webHidden/>
          </w:rPr>
          <w:t>108</w:t>
        </w:r>
        <w:r w:rsidR="00305C0E">
          <w:rPr>
            <w:noProof/>
            <w:webHidden/>
          </w:rPr>
          <w:fldChar w:fldCharType="end"/>
        </w:r>
      </w:hyperlink>
    </w:p>
    <w:p w14:paraId="768F16B5" w14:textId="35D8B9AA" w:rsidR="004F02FE" w:rsidRPr="00D13B67" w:rsidRDefault="004F02FE" w:rsidP="004F02FE">
      <w:r w:rsidRPr="00D13B67">
        <w:fldChar w:fldCharType="end"/>
      </w:r>
    </w:p>
    <w:p w14:paraId="7CEB0A49" w14:textId="6370C4CB" w:rsidR="00240F9A" w:rsidRPr="00D13B67" w:rsidRDefault="00240F9A" w:rsidP="00F149EA">
      <w:pPr>
        <w:pStyle w:val="Heading3"/>
        <w:spacing w:before="0"/>
      </w:pPr>
      <w:bookmarkStart w:id="8" w:name="_Toc228867963"/>
      <w:r w:rsidRPr="00D13B67">
        <w:t>Figures</w:t>
      </w:r>
      <w:bookmarkEnd w:id="8"/>
    </w:p>
    <w:p w14:paraId="581F19F1" w14:textId="2BAE4A09" w:rsidR="00305C0E" w:rsidRDefault="004F02FE">
      <w:pPr>
        <w:pStyle w:val="TableofFigures"/>
        <w:tabs>
          <w:tab w:val="right" w:leader="dot" w:pos="9350"/>
        </w:tabs>
        <w:rPr>
          <w:rFonts w:eastAsiaTheme="minorEastAsia" w:cstheme="minorBidi"/>
          <w:noProof/>
          <w:kern w:val="2"/>
          <w:lang w:eastAsia="zh-CN"/>
          <w14:ligatures w14:val="standardContextual"/>
        </w:rPr>
      </w:pPr>
      <w:r w:rsidRPr="00D13B67">
        <w:fldChar w:fldCharType="begin"/>
      </w:r>
      <w:r w:rsidRPr="00D13B67">
        <w:instrText xml:space="preserve"> TOC \h \z \c "Figure" </w:instrText>
      </w:r>
      <w:r w:rsidRPr="00D13B67">
        <w:fldChar w:fldCharType="separate"/>
      </w:r>
      <w:hyperlink w:anchor="_Toc228868017" w:history="1">
        <w:r w:rsidR="00305C0E" w:rsidRPr="00F037B3">
          <w:rPr>
            <w:rStyle w:val="Hyperlink"/>
            <w:noProof/>
          </w:rPr>
          <w:t>Figure 1: Diagram of co-designers’ perceptions of various file formats</w:t>
        </w:r>
        <w:r w:rsidR="00305C0E">
          <w:rPr>
            <w:noProof/>
            <w:webHidden/>
          </w:rPr>
          <w:tab/>
        </w:r>
        <w:r w:rsidR="00305C0E">
          <w:rPr>
            <w:noProof/>
            <w:webHidden/>
          </w:rPr>
          <w:fldChar w:fldCharType="begin"/>
        </w:r>
        <w:r w:rsidR="00305C0E">
          <w:rPr>
            <w:noProof/>
            <w:webHidden/>
          </w:rPr>
          <w:instrText xml:space="preserve"> PAGEREF _Toc228868017 \h </w:instrText>
        </w:r>
        <w:r w:rsidR="00305C0E">
          <w:rPr>
            <w:noProof/>
            <w:webHidden/>
          </w:rPr>
        </w:r>
        <w:r w:rsidR="00305C0E">
          <w:rPr>
            <w:noProof/>
            <w:webHidden/>
          </w:rPr>
          <w:fldChar w:fldCharType="separate"/>
        </w:r>
        <w:r w:rsidR="00305C0E">
          <w:rPr>
            <w:noProof/>
            <w:webHidden/>
          </w:rPr>
          <w:t>108</w:t>
        </w:r>
        <w:r w:rsidR="00305C0E">
          <w:rPr>
            <w:noProof/>
            <w:webHidden/>
          </w:rPr>
          <w:fldChar w:fldCharType="end"/>
        </w:r>
      </w:hyperlink>
    </w:p>
    <w:p w14:paraId="3C330FB0" w14:textId="34913B08" w:rsidR="00305C0E" w:rsidRDefault="00305C0E">
      <w:pPr>
        <w:pStyle w:val="TableofFigures"/>
        <w:tabs>
          <w:tab w:val="right" w:leader="dot" w:pos="9350"/>
        </w:tabs>
        <w:rPr>
          <w:rFonts w:eastAsiaTheme="minorEastAsia" w:cstheme="minorBidi"/>
          <w:noProof/>
          <w:kern w:val="2"/>
          <w:lang w:eastAsia="zh-CN"/>
          <w14:ligatures w14:val="standardContextual"/>
        </w:rPr>
      </w:pPr>
      <w:hyperlink w:anchor="_Toc228868018" w:history="1">
        <w:r w:rsidRPr="00F037B3">
          <w:rPr>
            <w:rStyle w:val="Hyperlink"/>
            <w:noProof/>
          </w:rPr>
          <w:t>Figure 2: Perceived impact of each theme</w:t>
        </w:r>
        <w:r>
          <w:rPr>
            <w:noProof/>
            <w:webHidden/>
          </w:rPr>
          <w:tab/>
        </w:r>
        <w:r>
          <w:rPr>
            <w:noProof/>
            <w:webHidden/>
          </w:rPr>
          <w:fldChar w:fldCharType="begin"/>
        </w:r>
        <w:r>
          <w:rPr>
            <w:noProof/>
            <w:webHidden/>
          </w:rPr>
          <w:instrText xml:space="preserve"> PAGEREF _Toc228868018 \h </w:instrText>
        </w:r>
        <w:r>
          <w:rPr>
            <w:noProof/>
            <w:webHidden/>
          </w:rPr>
        </w:r>
        <w:r>
          <w:rPr>
            <w:noProof/>
            <w:webHidden/>
          </w:rPr>
          <w:fldChar w:fldCharType="separate"/>
        </w:r>
        <w:r>
          <w:rPr>
            <w:noProof/>
            <w:webHidden/>
          </w:rPr>
          <w:t>119</w:t>
        </w:r>
        <w:r>
          <w:rPr>
            <w:noProof/>
            <w:webHidden/>
          </w:rPr>
          <w:fldChar w:fldCharType="end"/>
        </w:r>
      </w:hyperlink>
    </w:p>
    <w:p w14:paraId="0DEDA450" w14:textId="089F4031" w:rsidR="00305C0E" w:rsidRDefault="00305C0E">
      <w:pPr>
        <w:pStyle w:val="TableofFigures"/>
        <w:tabs>
          <w:tab w:val="right" w:leader="dot" w:pos="9350"/>
        </w:tabs>
        <w:rPr>
          <w:rFonts w:eastAsiaTheme="minorEastAsia" w:cstheme="minorBidi"/>
          <w:noProof/>
          <w:kern w:val="2"/>
          <w:lang w:eastAsia="zh-CN"/>
          <w14:ligatures w14:val="standardContextual"/>
        </w:rPr>
      </w:pPr>
      <w:hyperlink w:anchor="_Toc228868019" w:history="1">
        <w:r w:rsidRPr="00F037B3">
          <w:rPr>
            <w:rStyle w:val="Hyperlink"/>
            <w:noProof/>
          </w:rPr>
          <w:t>Figure 3: Influences on employees’ capacity to create and choose more accessible content</w:t>
        </w:r>
        <w:r>
          <w:rPr>
            <w:noProof/>
            <w:webHidden/>
          </w:rPr>
          <w:tab/>
        </w:r>
        <w:r>
          <w:rPr>
            <w:noProof/>
            <w:webHidden/>
          </w:rPr>
          <w:fldChar w:fldCharType="begin"/>
        </w:r>
        <w:r>
          <w:rPr>
            <w:noProof/>
            <w:webHidden/>
          </w:rPr>
          <w:instrText xml:space="preserve"> PAGEREF _Toc228868019 \h </w:instrText>
        </w:r>
        <w:r>
          <w:rPr>
            <w:noProof/>
            <w:webHidden/>
          </w:rPr>
        </w:r>
        <w:r>
          <w:rPr>
            <w:noProof/>
            <w:webHidden/>
          </w:rPr>
          <w:fldChar w:fldCharType="separate"/>
        </w:r>
        <w:r>
          <w:rPr>
            <w:noProof/>
            <w:webHidden/>
          </w:rPr>
          <w:t>120</w:t>
        </w:r>
        <w:r>
          <w:rPr>
            <w:noProof/>
            <w:webHidden/>
          </w:rPr>
          <w:fldChar w:fldCharType="end"/>
        </w:r>
      </w:hyperlink>
    </w:p>
    <w:p w14:paraId="70C54E93" w14:textId="02D78E22" w:rsidR="00305C0E" w:rsidRDefault="00305C0E">
      <w:pPr>
        <w:pStyle w:val="TableofFigures"/>
        <w:tabs>
          <w:tab w:val="right" w:leader="dot" w:pos="9350"/>
        </w:tabs>
        <w:rPr>
          <w:rFonts w:eastAsiaTheme="minorEastAsia" w:cstheme="minorBidi"/>
          <w:noProof/>
          <w:kern w:val="2"/>
          <w:lang w:eastAsia="zh-CN"/>
          <w14:ligatures w14:val="standardContextual"/>
        </w:rPr>
      </w:pPr>
      <w:hyperlink w:anchor="_Toc228868020" w:history="1">
        <w:r w:rsidRPr="00F037B3">
          <w:rPr>
            <w:rStyle w:val="Hyperlink"/>
            <w:noProof/>
          </w:rPr>
          <w:t>Figure 4: Screenshot of Employee Survey Questions</w:t>
        </w:r>
        <w:r>
          <w:rPr>
            <w:noProof/>
            <w:webHidden/>
          </w:rPr>
          <w:tab/>
        </w:r>
        <w:r>
          <w:rPr>
            <w:noProof/>
            <w:webHidden/>
          </w:rPr>
          <w:fldChar w:fldCharType="begin"/>
        </w:r>
        <w:r>
          <w:rPr>
            <w:noProof/>
            <w:webHidden/>
          </w:rPr>
          <w:instrText xml:space="preserve"> PAGEREF _Toc228868020 \h </w:instrText>
        </w:r>
        <w:r>
          <w:rPr>
            <w:noProof/>
            <w:webHidden/>
          </w:rPr>
        </w:r>
        <w:r>
          <w:rPr>
            <w:noProof/>
            <w:webHidden/>
          </w:rPr>
          <w:fldChar w:fldCharType="separate"/>
        </w:r>
        <w:r>
          <w:rPr>
            <w:noProof/>
            <w:webHidden/>
          </w:rPr>
          <w:t>181</w:t>
        </w:r>
        <w:r>
          <w:rPr>
            <w:noProof/>
            <w:webHidden/>
          </w:rPr>
          <w:fldChar w:fldCharType="end"/>
        </w:r>
      </w:hyperlink>
    </w:p>
    <w:p w14:paraId="5C646279" w14:textId="644485EC" w:rsidR="00305C0E" w:rsidRDefault="00305C0E">
      <w:pPr>
        <w:pStyle w:val="TableofFigures"/>
        <w:tabs>
          <w:tab w:val="right" w:leader="dot" w:pos="9350"/>
        </w:tabs>
        <w:rPr>
          <w:rFonts w:eastAsiaTheme="minorEastAsia" w:cstheme="minorBidi"/>
          <w:noProof/>
          <w:kern w:val="2"/>
          <w:lang w:eastAsia="zh-CN"/>
          <w14:ligatures w14:val="standardContextual"/>
        </w:rPr>
      </w:pPr>
      <w:hyperlink w:anchor="_Toc228868021" w:history="1">
        <w:r w:rsidRPr="00F037B3">
          <w:rPr>
            <w:rStyle w:val="Hyperlink"/>
            <w:noProof/>
          </w:rPr>
          <w:t>Figure 5: Screenshot of Employee Survey Questions (2)</w:t>
        </w:r>
        <w:r>
          <w:rPr>
            <w:noProof/>
            <w:webHidden/>
          </w:rPr>
          <w:tab/>
        </w:r>
        <w:r>
          <w:rPr>
            <w:noProof/>
            <w:webHidden/>
          </w:rPr>
          <w:fldChar w:fldCharType="begin"/>
        </w:r>
        <w:r>
          <w:rPr>
            <w:noProof/>
            <w:webHidden/>
          </w:rPr>
          <w:instrText xml:space="preserve"> PAGEREF _Toc228868021 \h </w:instrText>
        </w:r>
        <w:r>
          <w:rPr>
            <w:noProof/>
            <w:webHidden/>
          </w:rPr>
        </w:r>
        <w:r>
          <w:rPr>
            <w:noProof/>
            <w:webHidden/>
          </w:rPr>
          <w:fldChar w:fldCharType="separate"/>
        </w:r>
        <w:r>
          <w:rPr>
            <w:noProof/>
            <w:webHidden/>
          </w:rPr>
          <w:t>182</w:t>
        </w:r>
        <w:r>
          <w:rPr>
            <w:noProof/>
            <w:webHidden/>
          </w:rPr>
          <w:fldChar w:fldCharType="end"/>
        </w:r>
      </w:hyperlink>
    </w:p>
    <w:p w14:paraId="1222AC94" w14:textId="33071073" w:rsidR="00305C0E" w:rsidRDefault="00305C0E">
      <w:pPr>
        <w:pStyle w:val="TableofFigures"/>
        <w:tabs>
          <w:tab w:val="right" w:leader="dot" w:pos="9350"/>
        </w:tabs>
        <w:rPr>
          <w:rFonts w:eastAsiaTheme="minorEastAsia" w:cstheme="minorBidi"/>
          <w:noProof/>
          <w:kern w:val="2"/>
          <w:lang w:eastAsia="zh-CN"/>
          <w14:ligatures w14:val="standardContextual"/>
        </w:rPr>
      </w:pPr>
      <w:hyperlink w:anchor="_Toc228868022" w:history="1">
        <w:r w:rsidRPr="00F037B3">
          <w:rPr>
            <w:rStyle w:val="Hyperlink"/>
            <w:noProof/>
          </w:rPr>
          <w:t>Figure 6: Screenshot of phase 1 codebook</w:t>
        </w:r>
        <w:r>
          <w:rPr>
            <w:noProof/>
            <w:webHidden/>
          </w:rPr>
          <w:tab/>
        </w:r>
        <w:r>
          <w:rPr>
            <w:noProof/>
            <w:webHidden/>
          </w:rPr>
          <w:fldChar w:fldCharType="begin"/>
        </w:r>
        <w:r>
          <w:rPr>
            <w:noProof/>
            <w:webHidden/>
          </w:rPr>
          <w:instrText xml:space="preserve"> PAGEREF _Toc228868022 \h </w:instrText>
        </w:r>
        <w:r>
          <w:rPr>
            <w:noProof/>
            <w:webHidden/>
          </w:rPr>
        </w:r>
        <w:r>
          <w:rPr>
            <w:noProof/>
            <w:webHidden/>
          </w:rPr>
          <w:fldChar w:fldCharType="separate"/>
        </w:r>
        <w:r>
          <w:rPr>
            <w:noProof/>
            <w:webHidden/>
          </w:rPr>
          <w:t>195</w:t>
        </w:r>
        <w:r>
          <w:rPr>
            <w:noProof/>
            <w:webHidden/>
          </w:rPr>
          <w:fldChar w:fldCharType="end"/>
        </w:r>
      </w:hyperlink>
    </w:p>
    <w:p w14:paraId="6C6E7518" w14:textId="57435D77" w:rsidR="61D36089" w:rsidRPr="00D13B67" w:rsidRDefault="004F02FE">
      <w:r w:rsidRPr="00D13B67">
        <w:fldChar w:fldCharType="end"/>
      </w:r>
      <w:r w:rsidR="61D36089" w:rsidRPr="00D13B67">
        <w:br w:type="page"/>
      </w:r>
    </w:p>
    <w:p w14:paraId="47069AE7" w14:textId="0E49237E" w:rsidR="5E690A44" w:rsidRPr="00D13B67" w:rsidRDefault="1B27D7C5" w:rsidP="36910778">
      <w:pPr>
        <w:pStyle w:val="Heading2"/>
      </w:pPr>
      <w:bookmarkStart w:id="9" w:name="_Toc228867964"/>
      <w:r w:rsidRPr="00D13B67">
        <w:lastRenderedPageBreak/>
        <w:t xml:space="preserve">1 </w:t>
      </w:r>
      <w:r w:rsidR="5E690A44" w:rsidRPr="00D13B67">
        <w:t>Introduction</w:t>
      </w:r>
      <w:bookmarkEnd w:id="9"/>
    </w:p>
    <w:p w14:paraId="0711DFFA" w14:textId="6DFC61F5" w:rsidR="00506D7D" w:rsidRPr="00D13B67" w:rsidRDefault="006E6BB9" w:rsidP="00506D7D">
      <w:pPr>
        <w:pStyle w:val="Body"/>
      </w:pPr>
      <w:r w:rsidRPr="00D13B67">
        <w:t>While</w:t>
      </w:r>
      <w:r w:rsidR="00B260B2" w:rsidRPr="00D13B67">
        <w:t xml:space="preserve"> post-secondary education </w:t>
      </w:r>
      <w:r w:rsidR="00B56037" w:rsidRPr="00D13B67">
        <w:t xml:space="preserve">portrays </w:t>
      </w:r>
      <w:r w:rsidRPr="00D13B67">
        <w:t xml:space="preserve">itself </w:t>
      </w:r>
      <w:r w:rsidR="00B260B2" w:rsidRPr="00D13B67">
        <w:t>as progressive, welcoming, and inclusive, d</w:t>
      </w:r>
      <w:r w:rsidR="003A68B2" w:rsidRPr="00D13B67">
        <w:t xml:space="preserve">igital accessibility remains a significant barrier to the </w:t>
      </w:r>
      <w:r w:rsidR="001E4B64" w:rsidRPr="00D13B67">
        <w:t>participation</w:t>
      </w:r>
      <w:r w:rsidR="003A68B2" w:rsidRPr="00D13B67">
        <w:t xml:space="preserve"> and academic success of disabled students.</w:t>
      </w:r>
      <w:r w:rsidR="002D2A9F" w:rsidRPr="00D13B67">
        <w:t xml:space="preserve"> </w:t>
      </w:r>
      <w:r w:rsidR="00B12269" w:rsidRPr="00D13B67">
        <w:t>Despite decades of legislation</w:t>
      </w:r>
      <w:r w:rsidR="00570E70" w:rsidRPr="00D13B67">
        <w:t xml:space="preserve">, </w:t>
      </w:r>
      <w:r w:rsidR="0044640B" w:rsidRPr="00D13B67">
        <w:t>many digital learning materials remain inaccessible as post-secondary institutions continue to rely on reactive accommodation models rather than proactive design.</w:t>
      </w:r>
      <w:r w:rsidR="00DE253D" w:rsidRPr="00D13B67">
        <w:t xml:space="preserve"> </w:t>
      </w:r>
      <w:r w:rsidR="002D2A9F" w:rsidRPr="00D13B67">
        <w:t>The current approach to disability in post-secondary education is untenable</w:t>
      </w:r>
      <w:r w:rsidR="00DE253D" w:rsidRPr="00D13B67">
        <w:t xml:space="preserve"> in a context of rising </w:t>
      </w:r>
      <w:r w:rsidR="00AE4FB8" w:rsidRPr="00D13B67">
        <w:t>number</w:t>
      </w:r>
      <w:r w:rsidR="00DE253D" w:rsidRPr="00D13B67">
        <w:t>s</w:t>
      </w:r>
      <w:r w:rsidR="00AE4FB8" w:rsidRPr="00D13B67">
        <w:t xml:space="preserve"> of disabled students, increased demand for academic accommodations, and limited resources</w:t>
      </w:r>
      <w:r w:rsidR="002D2A9F" w:rsidRPr="00D13B67">
        <w:t xml:space="preserve">. </w:t>
      </w:r>
      <w:r w:rsidR="00DE253D" w:rsidRPr="00D13B67">
        <w:t xml:space="preserve">A more proactive approach to </w:t>
      </w:r>
      <w:r w:rsidR="0018596E" w:rsidRPr="00D13B67">
        <w:t xml:space="preserve">accessible </w:t>
      </w:r>
      <w:r w:rsidR="002D2A9F" w:rsidRPr="00D13B67">
        <w:t>digital learning material</w:t>
      </w:r>
      <w:r w:rsidR="0018596E" w:rsidRPr="00D13B67">
        <w:t xml:space="preserve"> </w:t>
      </w:r>
      <w:r w:rsidR="00DE38C6" w:rsidRPr="00D13B67">
        <w:t xml:space="preserve">through inclusive design </w:t>
      </w:r>
      <w:r w:rsidR="0018596E" w:rsidRPr="00D13B67">
        <w:t>can reduce the need for individual accommodations while</w:t>
      </w:r>
      <w:r w:rsidR="00F269DA" w:rsidRPr="00D13B67">
        <w:t xml:space="preserve"> creating learning environments that are more </w:t>
      </w:r>
      <w:r w:rsidR="00DE38C6" w:rsidRPr="00D13B67">
        <w:t>welcoming and useful to</w:t>
      </w:r>
      <w:r w:rsidR="00F269DA" w:rsidRPr="00D13B67">
        <w:t xml:space="preserve"> all learners.</w:t>
      </w:r>
    </w:p>
    <w:p w14:paraId="37556742" w14:textId="63FBEF33" w:rsidR="004538FF" w:rsidRPr="00D13B67" w:rsidRDefault="00B260B2" w:rsidP="00626BCD">
      <w:pPr>
        <w:pStyle w:val="Body"/>
      </w:pPr>
      <w:r w:rsidRPr="00D13B67">
        <w:t xml:space="preserve">Existing literature addresses academic accommodations and digital accessibility, but </w:t>
      </w:r>
      <w:r w:rsidR="00E50F4F" w:rsidRPr="00D13B67">
        <w:t>there is limited</w:t>
      </w:r>
      <w:r w:rsidRPr="00D13B67">
        <w:t xml:space="preserve"> research </w:t>
      </w:r>
      <w:r w:rsidR="00F269DA" w:rsidRPr="00D13B67">
        <w:t>on</w:t>
      </w:r>
      <w:r w:rsidRPr="00D13B67">
        <w:t xml:space="preserve"> how inaccessible digital learning material affects disabled students</w:t>
      </w:r>
      <w:r w:rsidR="00F269DA" w:rsidRPr="00D13B67">
        <w:t>’ learning experiences</w:t>
      </w:r>
      <w:r w:rsidRPr="00D13B67">
        <w:t xml:space="preserve">. </w:t>
      </w:r>
      <w:r w:rsidR="001D19F9" w:rsidRPr="00D13B67">
        <w:t>Using the principles of inclusive design</w:t>
      </w:r>
      <w:r w:rsidR="00804240" w:rsidRPr="00D13B67">
        <w:t xml:space="preserve">, this mixed-methods action research </w:t>
      </w:r>
      <w:r w:rsidR="001D19F9" w:rsidRPr="00D13B67">
        <w:t>brings</w:t>
      </w:r>
      <w:r w:rsidR="00804240" w:rsidRPr="00D13B67">
        <w:t xml:space="preserve"> disabled students and post-secondary employees</w:t>
      </w:r>
      <w:r w:rsidR="004538FF" w:rsidRPr="00D13B67">
        <w:t xml:space="preserve"> (faculty, staff, and administrators)</w:t>
      </w:r>
      <w:r w:rsidR="001D19F9" w:rsidRPr="00D13B67">
        <w:t xml:space="preserve"> together in</w:t>
      </w:r>
      <w:r w:rsidR="00804240" w:rsidRPr="00D13B67">
        <w:t xml:space="preserve"> </w:t>
      </w:r>
      <w:r w:rsidR="001D19F9" w:rsidRPr="00D13B67">
        <w:t>practical</w:t>
      </w:r>
      <w:r w:rsidR="00804240" w:rsidRPr="00D13B67">
        <w:t>, results</w:t>
      </w:r>
      <w:r w:rsidR="003F322C" w:rsidRPr="00D13B67">
        <w:t>-</w:t>
      </w:r>
      <w:r w:rsidR="001D19F9" w:rsidRPr="00D13B67">
        <w:t>oriented</w:t>
      </w:r>
      <w:r w:rsidR="00804240" w:rsidRPr="00D13B67">
        <w:t xml:space="preserve"> work.</w:t>
      </w:r>
      <w:r w:rsidR="006502B7" w:rsidRPr="00D13B67">
        <w:t xml:space="preserve"> In. phased approach, disabled </w:t>
      </w:r>
      <w:r w:rsidR="008F59FB" w:rsidRPr="00D13B67">
        <w:t>students</w:t>
      </w:r>
      <w:r w:rsidR="006502B7" w:rsidRPr="00D13B67">
        <w:t xml:space="preserve"> co-designed a digital resource to help inform post-secondary employees about their experience. Post-secondary employees were asked in a second phase about the impact of learning about the disa</w:t>
      </w:r>
      <w:r w:rsidR="006970CB" w:rsidRPr="00D13B67">
        <w:t>bled student experience.</w:t>
      </w:r>
      <w:r w:rsidR="006502B7" w:rsidRPr="00D13B67">
        <w:t xml:space="preserve"> </w:t>
      </w:r>
      <w:r w:rsidR="00804240" w:rsidRPr="00D13B67">
        <w:t xml:space="preserve">This project </w:t>
      </w:r>
      <w:r w:rsidR="004538FF" w:rsidRPr="00D13B67">
        <w:t>asks: how are disabled students impacted by inaccessible digital learning materials, and how can post-secondary employees be motivated to act?</w:t>
      </w:r>
    </w:p>
    <w:p w14:paraId="3B6404B5" w14:textId="4FE35BB8" w:rsidR="23127655" w:rsidRPr="00D13B67" w:rsidRDefault="23127655" w:rsidP="0CF19F9F">
      <w:pPr>
        <w:pStyle w:val="Heading3"/>
      </w:pPr>
      <w:bookmarkStart w:id="10" w:name="_Toc228867965"/>
      <w:r w:rsidRPr="00D13B67">
        <w:lastRenderedPageBreak/>
        <w:t xml:space="preserve">1.1 </w:t>
      </w:r>
      <w:r w:rsidR="7E01B79D" w:rsidRPr="00D13B67">
        <w:t xml:space="preserve">Disability </w:t>
      </w:r>
      <w:r w:rsidRPr="00D13B67">
        <w:t>Terminologies</w:t>
      </w:r>
      <w:bookmarkEnd w:id="10"/>
    </w:p>
    <w:p w14:paraId="07157889" w14:textId="2BA39088" w:rsidR="4B95CB99" w:rsidRPr="00D13B67" w:rsidRDefault="4B95CB99" w:rsidP="0080241A">
      <w:pPr>
        <w:pStyle w:val="Body"/>
      </w:pPr>
      <w:r w:rsidRPr="00D13B67">
        <w:t xml:space="preserve">There </w:t>
      </w:r>
      <w:r w:rsidR="00DF30E0" w:rsidRPr="00D13B67">
        <w:t>is</w:t>
      </w:r>
      <w:r w:rsidRPr="00D13B67">
        <w:t xml:space="preserve"> substantial debate over the most appropriate language to use when discussing disability. </w:t>
      </w:r>
      <w:r w:rsidR="004D1E6D" w:rsidRPr="00D13B67">
        <w:t xml:space="preserve">Preferred and accepted terminology evolves over time and differs across cultures. </w:t>
      </w:r>
      <w:r w:rsidRPr="00D13B67">
        <w:t>The most significant divide</w:t>
      </w:r>
      <w:r w:rsidR="00D65CC3" w:rsidRPr="00D13B67">
        <w:t xml:space="preserve"> in disability language</w:t>
      </w:r>
      <w:r w:rsidRPr="00D13B67">
        <w:t xml:space="preserve"> is between person-first and identity-first language.</w:t>
      </w:r>
      <w:r w:rsidR="3A5592FB" w:rsidRPr="00D13B67">
        <w:t xml:space="preserve"> </w:t>
      </w:r>
      <w:r w:rsidR="002D4CE6" w:rsidRPr="00D13B67">
        <w:t xml:space="preserve">In </w:t>
      </w:r>
      <w:r w:rsidR="00DF30E0" w:rsidRPr="00D13B67">
        <w:t>a disability</w:t>
      </w:r>
      <w:r w:rsidR="3A5592FB" w:rsidRPr="00D13B67">
        <w:t xml:space="preserve"> context, person-first language could be exemplified by</w:t>
      </w:r>
      <w:r w:rsidR="1E3C8F95" w:rsidRPr="00D13B67">
        <w:t>, for example,</w:t>
      </w:r>
      <w:r w:rsidR="3A5592FB" w:rsidRPr="00D13B67">
        <w:t xml:space="preserve"> ‘pe</w:t>
      </w:r>
      <w:r w:rsidR="463CEE1B" w:rsidRPr="00D13B67">
        <w:t xml:space="preserve">ople </w:t>
      </w:r>
      <w:r w:rsidR="3A5592FB" w:rsidRPr="00D13B67">
        <w:t>with disabilities’</w:t>
      </w:r>
      <w:r w:rsidR="00DF30E0" w:rsidRPr="00D13B67">
        <w:t>,</w:t>
      </w:r>
      <w:r w:rsidR="3A5592FB" w:rsidRPr="00D13B67">
        <w:t xml:space="preserve"> where</w:t>
      </w:r>
      <w:r w:rsidR="5B1299F6" w:rsidRPr="00D13B67">
        <w:t>as</w:t>
      </w:r>
      <w:r w:rsidR="3A5592FB" w:rsidRPr="00D13B67">
        <w:t xml:space="preserve"> </w:t>
      </w:r>
      <w:r w:rsidR="002D4CE6" w:rsidRPr="00D13B67">
        <w:t>identi</w:t>
      </w:r>
      <w:r w:rsidR="00DF30E0" w:rsidRPr="00D13B67">
        <w:t>t</w:t>
      </w:r>
      <w:r w:rsidR="002D4CE6" w:rsidRPr="00D13B67">
        <w:t>y</w:t>
      </w:r>
      <w:r w:rsidR="3A5592FB" w:rsidRPr="00D13B67">
        <w:t>-first language could be exemplified by</w:t>
      </w:r>
      <w:r w:rsidR="0D566310" w:rsidRPr="00D13B67">
        <w:t xml:space="preserve"> ‘disabled pe</w:t>
      </w:r>
      <w:r w:rsidR="491CBA9E" w:rsidRPr="00D13B67">
        <w:t>ople</w:t>
      </w:r>
      <w:r w:rsidR="0D566310" w:rsidRPr="00D13B67">
        <w:t>.’</w:t>
      </w:r>
      <w:r w:rsidR="325C1448" w:rsidRPr="00D13B67">
        <w:t xml:space="preserve"> </w:t>
      </w:r>
      <w:r w:rsidR="5CB4EEB5" w:rsidRPr="00D13B67">
        <w:t xml:space="preserve">Person-first language aims to ensure that </w:t>
      </w:r>
      <w:r w:rsidR="00F239A5" w:rsidRPr="00D13B67">
        <w:t xml:space="preserve">people are </w:t>
      </w:r>
      <w:r w:rsidR="5CB4EEB5" w:rsidRPr="00D13B67">
        <w:t>not defined by a single aspect of their lived experience, in this case disability.</w:t>
      </w:r>
      <w:r w:rsidR="705D3734" w:rsidRPr="00D13B67">
        <w:t xml:space="preserve"> </w:t>
      </w:r>
      <w:r w:rsidR="00DF30E0" w:rsidRPr="00D13B67">
        <w:t>Person-first language</w:t>
      </w:r>
      <w:r w:rsidR="705D3734" w:rsidRPr="00D13B67">
        <w:t xml:space="preserve"> could protect individuals from stereotypes, prejudice, or objectification based on their disability.</w:t>
      </w:r>
      <w:r w:rsidR="55B4EF0C" w:rsidRPr="00D13B67">
        <w:t xml:space="preserve"> </w:t>
      </w:r>
      <w:r w:rsidR="325C1448" w:rsidRPr="00D13B67">
        <w:t>According to guidelines from the National Institutes of Health</w:t>
      </w:r>
      <w:r w:rsidR="59E50166" w:rsidRPr="00D13B67">
        <w:t xml:space="preserve"> (2025)</w:t>
      </w:r>
      <w:r w:rsidR="43D56B30" w:rsidRPr="00D13B67">
        <w:t xml:space="preserve"> </w:t>
      </w:r>
      <w:r w:rsidR="47607B5A" w:rsidRPr="00D13B67">
        <w:t>“</w:t>
      </w:r>
      <w:r w:rsidR="5B1B6F4A" w:rsidRPr="00D13B67">
        <w:t>p</w:t>
      </w:r>
      <w:r w:rsidR="47607B5A" w:rsidRPr="00D13B67">
        <w:t>erson-first language is a way to emphasize the person and view the disorder, disease, condition, or disability as only one part of the whole person”</w:t>
      </w:r>
      <w:r w:rsidR="05E66839" w:rsidRPr="00D13B67">
        <w:t xml:space="preserve">. </w:t>
      </w:r>
      <w:r w:rsidR="60B0C1CE" w:rsidRPr="00D13B67">
        <w:t xml:space="preserve">In contrast, </w:t>
      </w:r>
      <w:r w:rsidR="47607B5A" w:rsidRPr="00D13B67">
        <w:t xml:space="preserve">identity-first language </w:t>
      </w:r>
      <w:r w:rsidR="343266E0" w:rsidRPr="00D13B67">
        <w:t>is “</w:t>
      </w:r>
      <w:r w:rsidR="47607B5A" w:rsidRPr="00D13B67">
        <w:t>a way to show pride in who they are and their membership in a community of similar people”</w:t>
      </w:r>
      <w:r w:rsidR="2A0EBF85" w:rsidRPr="00D13B67">
        <w:t>.</w:t>
      </w:r>
      <w:r w:rsidR="3785F9D2" w:rsidRPr="00D13B67">
        <w:t xml:space="preserve"> </w:t>
      </w:r>
      <w:r w:rsidR="1E9DC9D3" w:rsidRPr="00D13B67">
        <w:t xml:space="preserve">By focusing disability, identity-first language offers individuals agency to claim disability as </w:t>
      </w:r>
      <w:r w:rsidR="002D4CE6" w:rsidRPr="00D13B67">
        <w:t>a</w:t>
      </w:r>
      <w:r w:rsidR="007D5B3A" w:rsidRPr="00D13B67">
        <w:t>n</w:t>
      </w:r>
      <w:r w:rsidR="1E9DC9D3" w:rsidRPr="00D13B67">
        <w:t xml:space="preserve"> identity, </w:t>
      </w:r>
      <w:r w:rsidR="000A61F8" w:rsidRPr="00D13B67">
        <w:t xml:space="preserve">express a </w:t>
      </w:r>
      <w:r w:rsidR="1D454ABA" w:rsidRPr="00D13B67">
        <w:t xml:space="preserve">cultural affiliation, and </w:t>
      </w:r>
      <w:r w:rsidR="000A61F8" w:rsidRPr="00D13B67">
        <w:t xml:space="preserve">act as </w:t>
      </w:r>
      <w:r w:rsidR="1D454ABA" w:rsidRPr="00D13B67">
        <w:t xml:space="preserve">an affirmation of disability pride. Reclaiming disability as a positive term through identity-first language allows disabled people to </w:t>
      </w:r>
      <w:r w:rsidR="2931D478" w:rsidRPr="00D13B67">
        <w:t xml:space="preserve">define their </w:t>
      </w:r>
      <w:r w:rsidR="003C5F27" w:rsidRPr="00D13B67">
        <w:t>own terms</w:t>
      </w:r>
      <w:r w:rsidR="2931D478" w:rsidRPr="00D13B67">
        <w:t xml:space="preserve"> and may prevent others from naming and classifying them against their wishes or applying terms with negative implications.</w:t>
      </w:r>
      <w:r w:rsidR="00F750C3" w:rsidRPr="00D13B67">
        <w:t xml:space="preserve"> </w:t>
      </w:r>
    </w:p>
    <w:p w14:paraId="5DBDDF02" w14:textId="4C57D93E" w:rsidR="283E02A2" w:rsidRPr="00D13B67" w:rsidRDefault="283E02A2" w:rsidP="00CE739A">
      <w:pPr>
        <w:pStyle w:val="Body"/>
        <w:rPr>
          <w:rFonts w:ascii="Aptos" w:eastAsia="Aptos" w:hAnsi="Aptos" w:cs="Aptos"/>
        </w:rPr>
      </w:pPr>
      <w:r w:rsidRPr="00D13B67">
        <w:t xml:space="preserve">While most research on preferred language has been associated with </w:t>
      </w:r>
      <w:r w:rsidR="00740F53" w:rsidRPr="00D13B67">
        <w:t>autism</w:t>
      </w:r>
      <w:r w:rsidRPr="00D13B67">
        <w:t>, multiple sclerosis, and deaf/blind populations, there is a general trend toward identity-first language (Grech et al., 2023).</w:t>
      </w:r>
      <w:r w:rsidR="36EBA066" w:rsidRPr="00D13B67">
        <w:t xml:space="preserve"> </w:t>
      </w:r>
      <w:r w:rsidR="6A63AF3E" w:rsidRPr="00D13B67">
        <w:t xml:space="preserve">Perhaps the first usage of identity-first language regarding </w:t>
      </w:r>
      <w:r w:rsidR="6A63AF3E" w:rsidRPr="00D13B67">
        <w:lastRenderedPageBreak/>
        <w:t>disability was James Woodward</w:t>
      </w:r>
      <w:r w:rsidR="00F30FE3" w:rsidRPr="00D13B67">
        <w:t>’s</w:t>
      </w:r>
      <w:r w:rsidR="6A63AF3E" w:rsidRPr="00D13B67">
        <w:t xml:space="preserve"> </w:t>
      </w:r>
      <w:r w:rsidR="003C5F27" w:rsidRPr="00D13B67">
        <w:t>definition of</w:t>
      </w:r>
      <w:r w:rsidR="002D4CE6" w:rsidRPr="00D13B67">
        <w:t xml:space="preserve"> </w:t>
      </w:r>
      <w:r w:rsidR="003C5F27" w:rsidRPr="00D13B67">
        <w:t>‘</w:t>
      </w:r>
      <w:r w:rsidR="6A63AF3E" w:rsidRPr="00D13B67">
        <w:t xml:space="preserve">capital D </w:t>
      </w:r>
      <w:r w:rsidR="002D4CE6" w:rsidRPr="00D13B67">
        <w:t>Deaf</w:t>
      </w:r>
      <w:r w:rsidR="003C5F27" w:rsidRPr="00D13B67">
        <w:t>’</w:t>
      </w:r>
      <w:r w:rsidR="6A63AF3E" w:rsidRPr="00D13B67">
        <w:t xml:space="preserve"> as “sociological deafness” where “the term ‘deaf’ refers to audiological deafness” </w:t>
      </w:r>
      <w:r w:rsidR="6A63AF3E" w:rsidRPr="00D13B67">
        <w:rPr>
          <w:rFonts w:ascii="Aptos" w:eastAsia="Aptos" w:hAnsi="Aptos" w:cs="Aptos"/>
        </w:rPr>
        <w:t xml:space="preserve">(Woodward, 1982, p. 1). This identity-first language prefers the capitalized Deaf over ‘people who are </w:t>
      </w:r>
      <w:r w:rsidR="002D4CE6" w:rsidRPr="00D13B67">
        <w:rPr>
          <w:rFonts w:ascii="Aptos" w:eastAsia="Aptos" w:hAnsi="Aptos" w:cs="Aptos"/>
        </w:rPr>
        <w:t>deaf</w:t>
      </w:r>
      <w:r w:rsidR="6A63AF3E" w:rsidRPr="00D13B67">
        <w:rPr>
          <w:rFonts w:ascii="Aptos" w:eastAsia="Aptos" w:hAnsi="Aptos" w:cs="Aptos"/>
        </w:rPr>
        <w:t>.’</w:t>
      </w:r>
      <w:r w:rsidR="3F7B9F06" w:rsidRPr="00D13B67">
        <w:rPr>
          <w:rFonts w:ascii="Aptos" w:eastAsia="Aptos" w:hAnsi="Aptos" w:cs="Aptos"/>
        </w:rPr>
        <w:t xml:space="preserve"> </w:t>
      </w:r>
      <w:r w:rsidR="6A63AF3E" w:rsidRPr="00D13B67">
        <w:rPr>
          <w:rFonts w:ascii="Aptos" w:eastAsia="Aptos" w:hAnsi="Aptos" w:cs="Aptos"/>
        </w:rPr>
        <w:t xml:space="preserve">Modern scholarship </w:t>
      </w:r>
      <w:r w:rsidR="000B357A" w:rsidRPr="00D13B67">
        <w:rPr>
          <w:rFonts w:ascii="Aptos" w:eastAsia="Aptos" w:hAnsi="Aptos" w:cs="Aptos"/>
        </w:rPr>
        <w:t>confirms</w:t>
      </w:r>
      <w:r w:rsidR="6A63AF3E" w:rsidRPr="00D13B67">
        <w:rPr>
          <w:rFonts w:ascii="Aptos" w:eastAsia="Aptos" w:hAnsi="Aptos" w:cs="Aptos"/>
        </w:rPr>
        <w:t xml:space="preserve"> the general preference for identity-first language amongst the Deaf community, reaffirming the value of cultural identity and membership in the Deaf community “as a privilege (‘Deaf gain’) rather than a disability” (</w:t>
      </w:r>
      <w:proofErr w:type="spellStart"/>
      <w:r w:rsidR="6A63AF3E" w:rsidRPr="00D13B67">
        <w:rPr>
          <w:rFonts w:ascii="Aptos" w:eastAsia="Aptos" w:hAnsi="Aptos" w:cs="Aptos"/>
        </w:rPr>
        <w:t>Aldè</w:t>
      </w:r>
      <w:proofErr w:type="spellEnd"/>
      <w:r w:rsidR="6A63AF3E" w:rsidRPr="00D13B67">
        <w:rPr>
          <w:rFonts w:ascii="Aptos" w:eastAsia="Aptos" w:hAnsi="Aptos" w:cs="Aptos"/>
        </w:rPr>
        <w:t xml:space="preserve"> et al., 2025, p. 9). </w:t>
      </w:r>
      <w:r w:rsidR="000B357A" w:rsidRPr="00D13B67">
        <w:rPr>
          <w:rFonts w:ascii="Aptos" w:eastAsia="Aptos" w:hAnsi="Aptos" w:cs="Aptos"/>
        </w:rPr>
        <w:t>A similar</w:t>
      </w:r>
      <w:r w:rsidR="6A63AF3E" w:rsidRPr="00D13B67">
        <w:rPr>
          <w:rFonts w:ascii="Aptos" w:eastAsia="Aptos" w:hAnsi="Aptos" w:cs="Aptos"/>
        </w:rPr>
        <w:t xml:space="preserve"> preference for identity-first language also extends to the Autistic community (De Laet et al., 2025; National Institutes of Health, 2025).</w:t>
      </w:r>
      <w:r w:rsidR="381EEA57" w:rsidRPr="00D13B67">
        <w:rPr>
          <w:rFonts w:ascii="Aptos" w:eastAsia="Aptos" w:hAnsi="Aptos" w:cs="Aptos"/>
        </w:rPr>
        <w:t xml:space="preserve"> </w:t>
      </w:r>
      <w:r w:rsidR="2CA0BA2D" w:rsidRPr="00D13B67">
        <w:rPr>
          <w:rFonts w:ascii="Aptos" w:eastAsia="Aptos" w:hAnsi="Aptos" w:cs="Aptos"/>
        </w:rPr>
        <w:t xml:space="preserve">A 2022 study of 519 disabled people from 23 countries found that 49% preferred identity-first language and 33% preferred person-first language while 18% expressed no preference </w:t>
      </w:r>
      <w:r w:rsidR="4BF5CEAA" w:rsidRPr="00D13B67">
        <w:rPr>
          <w:rFonts w:ascii="Aptos" w:eastAsia="Aptos" w:hAnsi="Aptos" w:cs="Aptos"/>
        </w:rPr>
        <w:t xml:space="preserve">(Sharif et al., 2022). </w:t>
      </w:r>
      <w:r w:rsidR="381EEA57" w:rsidRPr="00D13B67">
        <w:t>A 2024 study found that participants with neurodevelopmental conditions were most likely to use identity-first language (Grech et al., 2024</w:t>
      </w:r>
      <w:r w:rsidR="002D4CE6" w:rsidRPr="00D13B67">
        <w:t>)</w:t>
      </w:r>
      <w:r w:rsidR="00C018B9" w:rsidRPr="00D13B67">
        <w:t>,</w:t>
      </w:r>
      <w:r w:rsidR="381EEA57" w:rsidRPr="00D13B67">
        <w:t xml:space="preserve"> while a 2025 study found that persons with a visible disability, or both a visible and invisible disability, were more likely to use identity-first language as compared to those with only an invisible disability (</w:t>
      </w:r>
      <w:r w:rsidR="381EEA57" w:rsidRPr="00D13B67">
        <w:rPr>
          <w:rFonts w:ascii="Aptos" w:eastAsia="Aptos" w:hAnsi="Aptos" w:cs="Aptos"/>
        </w:rPr>
        <w:t xml:space="preserve">Janiszewski et al., 2025). </w:t>
      </w:r>
      <w:r w:rsidR="00F30FE3" w:rsidRPr="00D13B67">
        <w:rPr>
          <w:rFonts w:ascii="Aptos" w:eastAsia="Aptos" w:hAnsi="Aptos" w:cs="Aptos"/>
        </w:rPr>
        <w:t>Potts et al. (2023) and Grech et al. (2024)</w:t>
      </w:r>
      <w:r w:rsidR="381EEA57" w:rsidRPr="00D13B67">
        <w:rPr>
          <w:rFonts w:ascii="Aptos" w:eastAsia="Aptos" w:hAnsi="Aptos" w:cs="Aptos"/>
        </w:rPr>
        <w:t xml:space="preserve"> found that healthcare professionals, educators, media and the public were less likely to use identity-first language to refer to disabled people.</w:t>
      </w:r>
      <w:r w:rsidR="7B7B76AC" w:rsidRPr="00D13B67">
        <w:rPr>
          <w:rFonts w:ascii="Aptos" w:eastAsia="Aptos" w:hAnsi="Aptos" w:cs="Aptos"/>
        </w:rPr>
        <w:t xml:space="preserve"> </w:t>
      </w:r>
      <w:r w:rsidR="00C708C6" w:rsidRPr="00D13B67">
        <w:rPr>
          <w:rFonts w:ascii="Aptos" w:eastAsia="Aptos" w:hAnsi="Aptos" w:cs="Aptos"/>
        </w:rPr>
        <w:t>A 2022 study</w:t>
      </w:r>
      <w:r w:rsidR="002D4CE6" w:rsidRPr="00D13B67">
        <w:rPr>
          <w:rFonts w:ascii="Aptos" w:eastAsia="Aptos" w:hAnsi="Aptos" w:cs="Aptos"/>
        </w:rPr>
        <w:t xml:space="preserve"> note</w:t>
      </w:r>
      <w:r w:rsidR="00C708C6" w:rsidRPr="00D13B67">
        <w:rPr>
          <w:rFonts w:ascii="Aptos" w:eastAsia="Aptos" w:hAnsi="Aptos" w:cs="Aptos"/>
        </w:rPr>
        <w:t>d</w:t>
      </w:r>
      <w:r w:rsidR="7B7B76AC" w:rsidRPr="00D13B67">
        <w:rPr>
          <w:rFonts w:ascii="Aptos" w:eastAsia="Aptos" w:hAnsi="Aptos" w:cs="Aptos"/>
        </w:rPr>
        <w:t xml:space="preserve"> that journals and publishers may advise authors to use one or the other, regardless of their (or their participants’) preference (Andrews et al., 2022).</w:t>
      </w:r>
      <w:r w:rsidR="381EEA57" w:rsidRPr="00D13B67">
        <w:rPr>
          <w:rFonts w:ascii="Aptos" w:eastAsia="Aptos" w:hAnsi="Aptos" w:cs="Aptos"/>
        </w:rPr>
        <w:t xml:space="preserve"> This suggests a disconnect between the preferred language of disabled </w:t>
      </w:r>
      <w:r w:rsidR="0039589B" w:rsidRPr="00D13B67">
        <w:rPr>
          <w:rFonts w:ascii="Aptos" w:eastAsia="Aptos" w:hAnsi="Aptos" w:cs="Aptos"/>
        </w:rPr>
        <w:t>people</w:t>
      </w:r>
      <w:r w:rsidR="381EEA57" w:rsidRPr="00D13B67">
        <w:rPr>
          <w:rFonts w:ascii="Aptos" w:eastAsia="Aptos" w:hAnsi="Aptos" w:cs="Aptos"/>
        </w:rPr>
        <w:t xml:space="preserve"> and the non-disabled groups referring to them.</w:t>
      </w:r>
      <w:r w:rsidR="2F80D298" w:rsidRPr="00D13B67">
        <w:rPr>
          <w:rFonts w:ascii="Aptos" w:eastAsia="Aptos" w:hAnsi="Aptos" w:cs="Aptos"/>
        </w:rPr>
        <w:t xml:space="preserve"> </w:t>
      </w:r>
    </w:p>
    <w:p w14:paraId="58213541" w14:textId="4497EAE2" w:rsidR="122ADED1" w:rsidRPr="00D13B67" w:rsidRDefault="122ADED1" w:rsidP="00A94F18">
      <w:pPr>
        <w:pStyle w:val="Body"/>
        <w:rPr>
          <w:rFonts w:ascii="Aptos" w:eastAsia="Aptos" w:hAnsi="Aptos" w:cs="Aptos"/>
        </w:rPr>
      </w:pPr>
      <w:r w:rsidRPr="00D13B67">
        <w:t xml:space="preserve">The </w:t>
      </w:r>
      <w:r w:rsidR="3A818D3B" w:rsidRPr="00D13B67">
        <w:t xml:space="preserve">Publication Manual of the American Psychological Association (APA) </w:t>
      </w:r>
      <w:r w:rsidR="00B05E72" w:rsidRPr="00D13B67">
        <w:t xml:space="preserve">(2020) </w:t>
      </w:r>
      <w:r w:rsidR="02F1B759" w:rsidRPr="00D13B67">
        <w:t xml:space="preserve">style states that “both person-first and identity-first approaches to language are designed </w:t>
      </w:r>
      <w:r w:rsidR="02F1B759" w:rsidRPr="00D13B67">
        <w:lastRenderedPageBreak/>
        <w:t>to respect disabled persons</w:t>
      </w:r>
      <w:r w:rsidR="55C2726C" w:rsidRPr="00D13B67">
        <w:t>”</w:t>
      </w:r>
      <w:r w:rsidR="02F1B759" w:rsidRPr="00D13B67">
        <w:t xml:space="preserve"> </w:t>
      </w:r>
      <w:r w:rsidR="6C0C0D01" w:rsidRPr="00D13B67">
        <w:t xml:space="preserve">and that </w:t>
      </w:r>
      <w:r w:rsidR="6C0C0D01" w:rsidRPr="00D13B67">
        <w:rPr>
          <w:rFonts w:ascii="Aptos" w:eastAsia="Aptos" w:hAnsi="Aptos" w:cs="Aptos"/>
        </w:rPr>
        <w:t>either person-first, identity-first, or a mix of both are permissible “unless or until you know that a group clearly prefers one approach” (p. 137).</w:t>
      </w:r>
      <w:r w:rsidR="0831ECFA" w:rsidRPr="00D13B67">
        <w:t xml:space="preserve"> Th</w:t>
      </w:r>
      <w:r w:rsidR="3B22144D" w:rsidRPr="00D13B67">
        <w:t>e claim that both approaches are intended to respect disabled persons could be undone by the intent of the author</w:t>
      </w:r>
      <w:r w:rsidR="004D3A51" w:rsidRPr="00D13B67">
        <w:t xml:space="preserve"> as r</w:t>
      </w:r>
      <w:r w:rsidR="0039589B" w:rsidRPr="00D13B67">
        <w:rPr>
          <w:rFonts w:ascii="Aptos" w:eastAsia="Aptos" w:hAnsi="Aptos" w:cs="Aptos"/>
        </w:rPr>
        <w:t>igid use of one naming convention or the other could lead to stigmatization of disabled people (Andrews et al., 2022).</w:t>
      </w:r>
      <w:r w:rsidR="00A94F18" w:rsidRPr="00D13B67">
        <w:rPr>
          <w:rFonts w:ascii="Aptos" w:eastAsia="Aptos" w:hAnsi="Aptos" w:cs="Aptos"/>
        </w:rPr>
        <w:t xml:space="preserve"> </w:t>
      </w:r>
      <w:r w:rsidR="0039589B" w:rsidRPr="00D13B67">
        <w:t>APA</w:t>
      </w:r>
      <w:r w:rsidR="002D4CE6" w:rsidRPr="00D13B67">
        <w:t xml:space="preserve"> guidance presumes </w:t>
      </w:r>
      <w:r w:rsidR="007F2236" w:rsidRPr="00D13B67">
        <w:t>disabled people</w:t>
      </w:r>
      <w:r w:rsidR="691A7365" w:rsidRPr="00D13B67">
        <w:t xml:space="preserve"> to be a monolith, all in consensus regarding preferred language.</w:t>
      </w:r>
      <w:r w:rsidR="1518B75B" w:rsidRPr="00D13B67">
        <w:t xml:space="preserve"> A</w:t>
      </w:r>
      <w:r w:rsidR="1DBE99F4" w:rsidRPr="00D13B67">
        <w:t xml:space="preserve">PA style </w:t>
      </w:r>
      <w:r w:rsidR="3B9DF654" w:rsidRPr="00D13B67">
        <w:t xml:space="preserve">notes that disability language is “evolving” and that “the expressed preference of people with disabilities regarding identification supersedes matters of style” (p. 136). </w:t>
      </w:r>
      <w:r w:rsidR="7AA2F3FF" w:rsidRPr="00D13B67">
        <w:rPr>
          <w:rFonts w:ascii="Aptos" w:eastAsia="Aptos" w:hAnsi="Aptos" w:cs="Aptos"/>
        </w:rPr>
        <w:t>Regarding research, APA style recommends that when working with participants with disabilities, authors should “use the language [participants] use to describe themselves” (p. 137). Similarly, t</w:t>
      </w:r>
      <w:r w:rsidR="3B9DF654" w:rsidRPr="00D13B67">
        <w:t>he Modern Languages Association also notes that the choice of language should “reflect the expressed preferences of individuals or groups when those preferences are known” (MLA Handbook, 2021, p. 90).</w:t>
      </w:r>
    </w:p>
    <w:p w14:paraId="77C7E2EA" w14:textId="77777777" w:rsidR="00AA5116" w:rsidRPr="00D13B67" w:rsidRDefault="002D4CE6" w:rsidP="002D4CE6">
      <w:pPr>
        <w:pStyle w:val="Body"/>
        <w:rPr>
          <w:rFonts w:eastAsia="Aptos"/>
        </w:rPr>
      </w:pPr>
      <w:r w:rsidRPr="00D13B67">
        <w:rPr>
          <w:rFonts w:eastAsia="Aptos"/>
        </w:rPr>
        <w:t xml:space="preserve">In this project, </w:t>
      </w:r>
      <w:r w:rsidR="00B50D0E" w:rsidRPr="00D13B67">
        <w:rPr>
          <w:rFonts w:eastAsia="Aptos"/>
        </w:rPr>
        <w:t>students</w:t>
      </w:r>
      <w:r w:rsidRPr="00D13B67">
        <w:rPr>
          <w:rFonts w:eastAsia="Aptos"/>
        </w:rPr>
        <w:t xml:space="preserve"> were intentionally not asked for any demographic data, including the nature of their disability or how they self-identified. </w:t>
      </w:r>
      <w:r w:rsidR="00A94F18" w:rsidRPr="00D13B67">
        <w:rPr>
          <w:rFonts w:eastAsia="Aptos"/>
        </w:rPr>
        <w:t xml:space="preserve">This choice was made to </w:t>
      </w:r>
      <w:r w:rsidRPr="00D13B67">
        <w:rPr>
          <w:rFonts w:eastAsia="Aptos"/>
        </w:rPr>
        <w:t xml:space="preserve">avoid unintentional disclosure as the </w:t>
      </w:r>
      <w:r w:rsidR="00B50D0E" w:rsidRPr="00D13B67">
        <w:rPr>
          <w:rFonts w:eastAsia="Aptos"/>
        </w:rPr>
        <w:t>co-designers</w:t>
      </w:r>
      <w:r w:rsidRPr="00D13B67">
        <w:rPr>
          <w:rFonts w:eastAsia="Aptos"/>
        </w:rPr>
        <w:t xml:space="preserve"> are students that could be taught in future by readers of the study</w:t>
      </w:r>
      <w:r w:rsidR="00AA5116" w:rsidRPr="00D13B67">
        <w:rPr>
          <w:rFonts w:eastAsia="Aptos"/>
        </w:rPr>
        <w:t xml:space="preserve">. </w:t>
      </w:r>
      <w:r w:rsidRPr="00D13B67">
        <w:rPr>
          <w:rFonts w:eastAsia="Aptos"/>
        </w:rPr>
        <w:t xml:space="preserve">Additionally, while the </w:t>
      </w:r>
      <w:r w:rsidR="00B50D0E" w:rsidRPr="00D13B67">
        <w:rPr>
          <w:rFonts w:eastAsia="Aptos"/>
        </w:rPr>
        <w:t>students’</w:t>
      </w:r>
      <w:r w:rsidRPr="00D13B67">
        <w:rPr>
          <w:rFonts w:eastAsia="Aptos"/>
        </w:rPr>
        <w:t xml:space="preserve"> disabilities are important, disability is not the sole factor influencing their interaction with digital learning material.</w:t>
      </w:r>
      <w:r w:rsidR="00B94101" w:rsidRPr="00D13B67">
        <w:rPr>
          <w:rFonts w:eastAsia="Aptos"/>
        </w:rPr>
        <w:t xml:space="preserve"> Other factors include digital literacy and confidence using technology.</w:t>
      </w:r>
      <w:r w:rsidRPr="00D13B67">
        <w:rPr>
          <w:rFonts w:eastAsia="Aptos"/>
        </w:rPr>
        <w:t xml:space="preserve"> Additionally, disabled people </w:t>
      </w:r>
      <w:r w:rsidR="00AA5116" w:rsidRPr="00D13B67">
        <w:rPr>
          <w:rFonts w:eastAsia="Aptos"/>
        </w:rPr>
        <w:t>may be</w:t>
      </w:r>
      <w:r w:rsidRPr="00D13B67">
        <w:rPr>
          <w:rFonts w:eastAsia="Aptos"/>
        </w:rPr>
        <w:t xml:space="preserve"> disabled and able-bodied simultaneously; the two states are not a dichotomy of opposites (Withers, 2012). </w:t>
      </w:r>
    </w:p>
    <w:p w14:paraId="0D04DD2D" w14:textId="6F807035" w:rsidR="002D4CE6" w:rsidRPr="00D13B67" w:rsidRDefault="00AA5116" w:rsidP="002D4CE6">
      <w:pPr>
        <w:pStyle w:val="Body"/>
        <w:rPr>
          <w:rFonts w:eastAsia="Aptos"/>
        </w:rPr>
      </w:pPr>
      <w:r w:rsidRPr="00D13B67">
        <w:rPr>
          <w:rFonts w:eastAsia="Aptos"/>
        </w:rPr>
        <w:lastRenderedPageBreak/>
        <w:t>Regarding language</w:t>
      </w:r>
      <w:r w:rsidR="002D4CE6" w:rsidRPr="00D13B67">
        <w:rPr>
          <w:rFonts w:eastAsia="Aptos"/>
        </w:rPr>
        <w:t xml:space="preserve">, this work will </w:t>
      </w:r>
      <w:r w:rsidR="008B3E54" w:rsidRPr="00D13B67">
        <w:rPr>
          <w:rFonts w:eastAsia="Aptos"/>
        </w:rPr>
        <w:t>prioritize identi</w:t>
      </w:r>
      <w:r w:rsidR="003D320F" w:rsidRPr="00D13B67">
        <w:rPr>
          <w:rFonts w:eastAsia="Aptos"/>
        </w:rPr>
        <w:t>ty-</w:t>
      </w:r>
      <w:r w:rsidR="008B3E54" w:rsidRPr="00D13B67">
        <w:rPr>
          <w:rFonts w:eastAsia="Aptos"/>
        </w:rPr>
        <w:t xml:space="preserve">first language. However, </w:t>
      </w:r>
      <w:r w:rsidR="00CF498F" w:rsidRPr="00D13B67">
        <w:rPr>
          <w:rFonts w:eastAsia="Aptos"/>
        </w:rPr>
        <w:t>as some of the discussion focuses on general access to learning material and impacts the larger student body</w:t>
      </w:r>
      <w:r w:rsidR="00082066" w:rsidRPr="00D13B67">
        <w:rPr>
          <w:rFonts w:eastAsia="Aptos"/>
        </w:rPr>
        <w:t xml:space="preserve"> there may be value in </w:t>
      </w:r>
      <w:r w:rsidR="003D320F" w:rsidRPr="00D13B67">
        <w:rPr>
          <w:rFonts w:eastAsia="Aptos"/>
        </w:rPr>
        <w:t xml:space="preserve">also </w:t>
      </w:r>
      <w:r w:rsidR="00082066" w:rsidRPr="00D13B67">
        <w:rPr>
          <w:rFonts w:eastAsia="Aptos"/>
        </w:rPr>
        <w:t xml:space="preserve">referring to </w:t>
      </w:r>
      <w:r w:rsidR="00082066" w:rsidRPr="00D13B67">
        <w:rPr>
          <w:rFonts w:eastAsia="Aptos"/>
          <w:i/>
          <w:iCs/>
        </w:rPr>
        <w:t>students</w:t>
      </w:r>
      <w:r w:rsidR="00082066" w:rsidRPr="00D13B67">
        <w:rPr>
          <w:rFonts w:eastAsia="Aptos"/>
        </w:rPr>
        <w:t xml:space="preserve"> with disabilities, i.e., person-first language.</w:t>
      </w:r>
      <w:r w:rsidR="00BA6D7F" w:rsidRPr="00D13B67">
        <w:rPr>
          <w:rFonts w:eastAsia="Aptos"/>
        </w:rPr>
        <w:t xml:space="preserve"> In post-secondary education, disabled students are in dire need of more accessible experiences</w:t>
      </w:r>
      <w:r w:rsidR="006409BB" w:rsidRPr="00D13B67">
        <w:rPr>
          <w:rFonts w:eastAsia="Aptos"/>
        </w:rPr>
        <w:t xml:space="preserve"> and resources should be deployed appropriately</w:t>
      </w:r>
      <w:r w:rsidR="00490479" w:rsidRPr="00D13B67">
        <w:rPr>
          <w:rFonts w:eastAsia="Aptos"/>
        </w:rPr>
        <w:t xml:space="preserve">. However, if we consider the broader beneficial impact of inclusive design and experiences, all students will benefit from better digital learning material. </w:t>
      </w:r>
      <w:r w:rsidR="00D96FB0" w:rsidRPr="00D13B67">
        <w:rPr>
          <w:rFonts w:eastAsia="Aptos"/>
        </w:rPr>
        <w:t xml:space="preserve">However, </w:t>
      </w:r>
      <w:r w:rsidR="001B26AF" w:rsidRPr="00D13B67">
        <w:rPr>
          <w:rFonts w:eastAsia="Aptos"/>
        </w:rPr>
        <w:t>tagging students</w:t>
      </w:r>
      <w:r w:rsidR="00D96FB0" w:rsidRPr="00D13B67">
        <w:rPr>
          <w:rFonts w:eastAsia="Aptos"/>
        </w:rPr>
        <w:t xml:space="preserve"> as </w:t>
      </w:r>
      <w:r w:rsidR="00D96FB0" w:rsidRPr="00D13B67">
        <w:rPr>
          <w:rFonts w:eastAsia="Aptos"/>
          <w:i/>
          <w:iCs/>
        </w:rPr>
        <w:t>disabled</w:t>
      </w:r>
      <w:r w:rsidR="00D96FB0" w:rsidRPr="00D13B67">
        <w:rPr>
          <w:rFonts w:eastAsia="Aptos"/>
        </w:rPr>
        <w:t xml:space="preserve"> student</w:t>
      </w:r>
      <w:r w:rsidR="001B26AF" w:rsidRPr="00D13B67">
        <w:rPr>
          <w:rFonts w:eastAsia="Aptos"/>
        </w:rPr>
        <w:t>s</w:t>
      </w:r>
      <w:r w:rsidR="00D96FB0" w:rsidRPr="00D13B67">
        <w:rPr>
          <w:rFonts w:eastAsia="Aptos"/>
        </w:rPr>
        <w:t xml:space="preserve">, </w:t>
      </w:r>
      <w:r w:rsidR="00D96FB0" w:rsidRPr="00D13B67">
        <w:rPr>
          <w:rFonts w:eastAsia="Aptos"/>
          <w:i/>
          <w:iCs/>
        </w:rPr>
        <w:t>international</w:t>
      </w:r>
      <w:r w:rsidR="00D96FB0" w:rsidRPr="00D13B67">
        <w:rPr>
          <w:rFonts w:eastAsia="Aptos"/>
        </w:rPr>
        <w:t xml:space="preserve"> student</w:t>
      </w:r>
      <w:r w:rsidR="001B26AF" w:rsidRPr="00D13B67">
        <w:rPr>
          <w:rFonts w:eastAsia="Aptos"/>
        </w:rPr>
        <w:t>s</w:t>
      </w:r>
      <w:r w:rsidR="00D96FB0" w:rsidRPr="00D13B67">
        <w:rPr>
          <w:rFonts w:eastAsia="Aptos"/>
        </w:rPr>
        <w:t>,</w:t>
      </w:r>
      <w:r w:rsidR="001B26AF" w:rsidRPr="00D13B67">
        <w:rPr>
          <w:rFonts w:eastAsia="Aptos"/>
        </w:rPr>
        <w:t xml:space="preserve"> or </w:t>
      </w:r>
      <w:r w:rsidR="001B26AF" w:rsidRPr="00D13B67">
        <w:rPr>
          <w:rFonts w:eastAsia="Aptos"/>
          <w:i/>
          <w:iCs/>
        </w:rPr>
        <w:t>gifted</w:t>
      </w:r>
      <w:r w:rsidR="001B26AF" w:rsidRPr="00D13B67">
        <w:rPr>
          <w:rFonts w:eastAsia="Aptos"/>
        </w:rPr>
        <w:t xml:space="preserve"> students creates and codifies difference</w:t>
      </w:r>
      <w:r w:rsidR="00FF787D" w:rsidRPr="00D13B67">
        <w:rPr>
          <w:rFonts w:eastAsia="Aptos"/>
        </w:rPr>
        <w:t xml:space="preserve"> (from an implied norm). These labels “silo students to conform to distinctive categories of difference” (Heng, 2019, p. 43).</w:t>
      </w:r>
      <w:r w:rsidR="00E65770" w:rsidRPr="00D13B67">
        <w:rPr>
          <w:rFonts w:eastAsia="Aptos"/>
        </w:rPr>
        <w:t xml:space="preserve"> </w:t>
      </w:r>
      <w:r w:rsidR="00831591" w:rsidRPr="00D13B67">
        <w:rPr>
          <w:rFonts w:eastAsia="Aptos"/>
        </w:rPr>
        <w:t>This research centers disabled students or students with disabilities</w:t>
      </w:r>
      <w:r w:rsidR="004D7076" w:rsidRPr="00D13B67">
        <w:rPr>
          <w:rFonts w:eastAsia="Aptos"/>
        </w:rPr>
        <w:t xml:space="preserve"> but aims to craft environments where those tags become unnecessary. </w:t>
      </w:r>
    </w:p>
    <w:p w14:paraId="0EA5C3AB" w14:textId="679A41E0" w:rsidR="18144F2E" w:rsidRPr="00D13B67" w:rsidRDefault="18144F2E" w:rsidP="00CE739A">
      <w:pPr>
        <w:pStyle w:val="Body"/>
      </w:pPr>
      <w:r w:rsidRPr="00D13B67">
        <w:t>U</w:t>
      </w:r>
      <w:r w:rsidR="2F7AE770" w:rsidRPr="00D13B67">
        <w:t xml:space="preserve">ltimately, the </w:t>
      </w:r>
      <w:r w:rsidR="067BF61B" w:rsidRPr="00D13B67">
        <w:t xml:space="preserve">question of language preference </w:t>
      </w:r>
      <w:r w:rsidR="2F7AE770" w:rsidRPr="00D13B67">
        <w:t>rests with individuals and “the right for disabled people to define their own relationships with disability” (Dolmage, 2017, p. 5).</w:t>
      </w:r>
      <w:r w:rsidR="4B5D76FE" w:rsidRPr="00D13B67">
        <w:t xml:space="preserve"> </w:t>
      </w:r>
      <w:r w:rsidR="002D4CE6" w:rsidRPr="00D13B67">
        <w:t>On</w:t>
      </w:r>
      <w:r w:rsidR="00B50D0E" w:rsidRPr="00D13B67">
        <w:t>e project co-</w:t>
      </w:r>
      <w:r w:rsidR="000A5330" w:rsidRPr="00D13B67">
        <w:t>designer</w:t>
      </w:r>
      <w:r w:rsidR="00924C54" w:rsidRPr="00D13B67">
        <w:t xml:space="preserve"> (Stella </w:t>
      </w:r>
      <w:r w:rsidR="003D320F" w:rsidRPr="00D13B67">
        <w:t>Grynspan</w:t>
      </w:r>
      <w:r w:rsidR="00924C54" w:rsidRPr="00D13B67">
        <w:t>)</w:t>
      </w:r>
      <w:r w:rsidR="00241BF6">
        <w:rPr>
          <w:rFonts w:ascii="ZWAdobeF" w:hAnsi="ZWAdobeF" w:cs="ZWAdobeF"/>
          <w:sz w:val="2"/>
          <w:szCs w:val="2"/>
        </w:rPr>
        <w:t>0F</w:t>
      </w:r>
      <w:r w:rsidR="004D7076" w:rsidRPr="00D13B67">
        <w:rPr>
          <w:rStyle w:val="FootnoteReference"/>
        </w:rPr>
        <w:footnoteReference w:id="1"/>
      </w:r>
      <w:r w:rsidR="03220627" w:rsidRPr="00D13B67">
        <w:t xml:space="preserve"> stated</w:t>
      </w:r>
      <w:r w:rsidR="1D97B947" w:rsidRPr="00D13B67">
        <w:t>, unprompted</w:t>
      </w:r>
      <w:r w:rsidR="03220627" w:rsidRPr="00D13B67">
        <w:t xml:space="preserve">: “You can call me whatever you want . . . you can say whatever you want to me as long as you actually make an effort to give the accessible format.” While only speaking for themselves, </w:t>
      </w:r>
      <w:r w:rsidR="00035A3F" w:rsidRPr="00D13B67">
        <w:t>Stella</w:t>
      </w:r>
      <w:r w:rsidR="03220627" w:rsidRPr="00D13B67">
        <w:t xml:space="preserve"> hits at the heart of the purpose of this research</w:t>
      </w:r>
      <w:r w:rsidR="15A86F3F" w:rsidRPr="00D13B67">
        <w:t xml:space="preserve">; while philosophical considerations are important, only </w:t>
      </w:r>
      <w:r w:rsidR="03220627" w:rsidRPr="00D13B67">
        <w:t xml:space="preserve">tangible action </w:t>
      </w:r>
      <w:r w:rsidR="67C0E03E" w:rsidRPr="00D13B67">
        <w:t>will</w:t>
      </w:r>
      <w:r w:rsidR="03220627" w:rsidRPr="00D13B67">
        <w:t xml:space="preserve"> improve </w:t>
      </w:r>
      <w:r w:rsidR="00E85DAD" w:rsidRPr="00D13B67">
        <w:t xml:space="preserve">the </w:t>
      </w:r>
      <w:r w:rsidR="03220627" w:rsidRPr="00D13B67">
        <w:t>student experience.</w:t>
      </w:r>
    </w:p>
    <w:p w14:paraId="08503311" w14:textId="77777777" w:rsidR="6AD9EE65" w:rsidRPr="00D13B67" w:rsidRDefault="23127655" w:rsidP="58146045">
      <w:pPr>
        <w:pStyle w:val="Heading3"/>
      </w:pPr>
      <w:bookmarkStart w:id="11" w:name="_Toc228867966"/>
      <w:r w:rsidRPr="00D13B67">
        <w:lastRenderedPageBreak/>
        <w:t xml:space="preserve">1.2 </w:t>
      </w:r>
      <w:r w:rsidR="6AD9EE65" w:rsidRPr="00D13B67">
        <w:t xml:space="preserve">Disability </w:t>
      </w:r>
      <w:r w:rsidR="21EB9CD7" w:rsidRPr="00D13B67">
        <w:t>S</w:t>
      </w:r>
      <w:r w:rsidR="6AD9EE65" w:rsidRPr="00D13B67">
        <w:t>tatistics</w:t>
      </w:r>
      <w:bookmarkEnd w:id="11"/>
    </w:p>
    <w:p w14:paraId="0F89B562" w14:textId="33FD55D8" w:rsidR="33534DA7" w:rsidRPr="00D13B67" w:rsidRDefault="003771C3" w:rsidP="00CE739A">
      <w:pPr>
        <w:pStyle w:val="Body"/>
        <w:rPr>
          <w:rFonts w:eastAsia="Aptos"/>
        </w:rPr>
      </w:pPr>
      <w:r w:rsidRPr="00D13B67">
        <w:rPr>
          <w:rFonts w:eastAsia="Aptos"/>
        </w:rPr>
        <w:t>An estimated</w:t>
      </w:r>
      <w:r w:rsidR="33534DA7" w:rsidRPr="00D13B67">
        <w:rPr>
          <w:rFonts w:eastAsia="Aptos"/>
        </w:rPr>
        <w:t xml:space="preserve"> 1.3 billion people, around 16% of the global population, experience disability (World Health Organization, 2022). In 2022, 27% of the Canadian population</w:t>
      </w:r>
      <w:r w:rsidR="55E5C131" w:rsidRPr="00D13B67">
        <w:rPr>
          <w:rFonts w:eastAsia="Aptos"/>
        </w:rPr>
        <w:t xml:space="preserve"> (nearly 8 million people)</w:t>
      </w:r>
      <w:r w:rsidR="33534DA7" w:rsidRPr="00D13B67">
        <w:rPr>
          <w:rFonts w:eastAsia="Aptos"/>
        </w:rPr>
        <w:t xml:space="preserve"> </w:t>
      </w:r>
      <w:r w:rsidR="001D42F0" w:rsidRPr="00D13B67">
        <w:rPr>
          <w:rFonts w:eastAsia="Aptos"/>
        </w:rPr>
        <w:t>reported having</w:t>
      </w:r>
      <w:r w:rsidR="33534DA7" w:rsidRPr="00D13B67">
        <w:rPr>
          <w:rFonts w:eastAsia="Aptos"/>
        </w:rPr>
        <w:t xml:space="preserve"> a disability</w:t>
      </w:r>
      <w:r w:rsidR="4FE7D60C" w:rsidRPr="00D13B67">
        <w:rPr>
          <w:rFonts w:eastAsia="Aptos"/>
        </w:rPr>
        <w:t xml:space="preserve"> (Statistics Canada, 2024</w:t>
      </w:r>
      <w:r w:rsidR="75393417" w:rsidRPr="00D13B67">
        <w:rPr>
          <w:rFonts w:eastAsia="Aptos"/>
        </w:rPr>
        <w:t>a</w:t>
      </w:r>
      <w:r w:rsidR="4FE7D60C" w:rsidRPr="00D13B67">
        <w:rPr>
          <w:rFonts w:eastAsia="Aptos"/>
        </w:rPr>
        <w:t>)</w:t>
      </w:r>
      <w:r w:rsidR="33534DA7" w:rsidRPr="00D13B67">
        <w:rPr>
          <w:rFonts w:eastAsia="Aptos"/>
        </w:rPr>
        <w:t xml:space="preserve">, increasing from 22% in 2017. </w:t>
      </w:r>
      <w:r w:rsidR="00D763AE" w:rsidRPr="00D13B67">
        <w:rPr>
          <w:rFonts w:eastAsia="Aptos"/>
        </w:rPr>
        <w:t xml:space="preserve">Statistics Canada </w:t>
      </w:r>
      <w:r w:rsidR="00461691" w:rsidRPr="00D13B67">
        <w:rPr>
          <w:rFonts w:eastAsia="Aptos"/>
        </w:rPr>
        <w:t>found</w:t>
      </w:r>
      <w:r w:rsidR="33534DA7" w:rsidRPr="00D13B67">
        <w:rPr>
          <w:rFonts w:eastAsia="Aptos"/>
        </w:rPr>
        <w:t xml:space="preserve"> that 20% of Canadian youth (aged 15-24) </w:t>
      </w:r>
      <w:r w:rsidR="007C1741" w:rsidRPr="00D13B67">
        <w:rPr>
          <w:rFonts w:eastAsia="Aptos"/>
        </w:rPr>
        <w:t>reported having</w:t>
      </w:r>
      <w:r w:rsidR="33534DA7" w:rsidRPr="00D13B67">
        <w:rPr>
          <w:rFonts w:eastAsia="Aptos"/>
        </w:rPr>
        <w:t xml:space="preserve"> a disability in 2022, a 7% increase since 2017 (</w:t>
      </w:r>
      <w:r w:rsidR="6C807C25" w:rsidRPr="00D13B67">
        <w:rPr>
          <w:rFonts w:eastAsia="Aptos"/>
        </w:rPr>
        <w:t>2023</w:t>
      </w:r>
      <w:r w:rsidR="33534DA7" w:rsidRPr="00D13B67">
        <w:rPr>
          <w:rFonts w:eastAsia="Aptos"/>
        </w:rPr>
        <w:t xml:space="preserve">). </w:t>
      </w:r>
      <w:r w:rsidR="2EDFA4D7" w:rsidRPr="00D13B67">
        <w:rPr>
          <w:rFonts w:eastAsia="Aptos"/>
        </w:rPr>
        <w:t xml:space="preserve">24% of working-age adults </w:t>
      </w:r>
      <w:r w:rsidR="007C1741" w:rsidRPr="00D13B67">
        <w:rPr>
          <w:rFonts w:eastAsia="Aptos"/>
        </w:rPr>
        <w:t>reported having</w:t>
      </w:r>
      <w:r w:rsidR="2EDFA4D7" w:rsidRPr="00D13B67">
        <w:rPr>
          <w:rFonts w:eastAsia="Aptos"/>
        </w:rPr>
        <w:t xml:space="preserve"> a disability in 2022, a rise of 4% from 2017</w:t>
      </w:r>
      <w:r w:rsidR="00D763AE" w:rsidRPr="00D13B67">
        <w:rPr>
          <w:rFonts w:eastAsia="Aptos"/>
        </w:rPr>
        <w:t xml:space="preserve"> (Statistics Canada, 2024a)</w:t>
      </w:r>
      <w:r w:rsidR="2EDFA4D7" w:rsidRPr="00D13B67">
        <w:rPr>
          <w:rFonts w:eastAsia="Aptos"/>
        </w:rPr>
        <w:t>.</w:t>
      </w:r>
      <w:r w:rsidR="7725BC1D" w:rsidRPr="00D13B67">
        <w:rPr>
          <w:rFonts w:eastAsia="Aptos"/>
        </w:rPr>
        <w:t xml:space="preserve"> </w:t>
      </w:r>
      <w:r w:rsidR="002D4CE6" w:rsidRPr="00D13B67">
        <w:rPr>
          <w:rFonts w:eastAsia="Aptos"/>
        </w:rPr>
        <w:t xml:space="preserve">The greater number of people with disabilities </w:t>
      </w:r>
      <w:r w:rsidR="00B9365C" w:rsidRPr="00D13B67">
        <w:rPr>
          <w:rFonts w:eastAsia="Aptos"/>
        </w:rPr>
        <w:t xml:space="preserve">correlates </w:t>
      </w:r>
      <w:r w:rsidR="007C1741" w:rsidRPr="00D13B67">
        <w:rPr>
          <w:rFonts w:eastAsia="Aptos"/>
        </w:rPr>
        <w:t>with</w:t>
      </w:r>
      <w:r w:rsidR="002D4CE6" w:rsidRPr="00D13B67">
        <w:rPr>
          <w:rFonts w:eastAsia="Aptos"/>
        </w:rPr>
        <w:t xml:space="preserve"> increased numbers of disab</w:t>
      </w:r>
      <w:r w:rsidR="007C1741" w:rsidRPr="00D13B67">
        <w:rPr>
          <w:rFonts w:eastAsia="Aptos"/>
        </w:rPr>
        <w:t xml:space="preserve">led </w:t>
      </w:r>
      <w:r w:rsidR="002D4CE6" w:rsidRPr="00D13B67">
        <w:rPr>
          <w:rFonts w:eastAsia="Aptos"/>
        </w:rPr>
        <w:t>people attending post-secondary education.</w:t>
      </w:r>
    </w:p>
    <w:p w14:paraId="6BD73894" w14:textId="0D00E31B" w:rsidR="00460EB6" w:rsidRPr="00D13B67" w:rsidRDefault="00460EB6" w:rsidP="0080241A">
      <w:pPr>
        <w:pStyle w:val="Heading3"/>
      </w:pPr>
      <w:bookmarkStart w:id="12" w:name="_Toc228867967"/>
      <w:r w:rsidRPr="00D13B67">
        <w:t>1.3 Digital Accessibility</w:t>
      </w:r>
      <w:bookmarkEnd w:id="12"/>
    </w:p>
    <w:p w14:paraId="28C0E3AC" w14:textId="5D3B1D27" w:rsidR="00460EB6" w:rsidRPr="00D13B67" w:rsidRDefault="00C45B56" w:rsidP="0080241A">
      <w:pPr>
        <w:pStyle w:val="Body"/>
      </w:pPr>
      <w:r w:rsidRPr="00D13B67">
        <w:t>A</w:t>
      </w:r>
      <w:r w:rsidR="00895873" w:rsidRPr="00D13B67">
        <w:t xml:space="preserve">ccessibility is a state </w:t>
      </w:r>
      <w:r w:rsidR="003B06CB" w:rsidRPr="00D13B67">
        <w:t xml:space="preserve">in which </w:t>
      </w:r>
      <w:r w:rsidR="00461691" w:rsidRPr="00D13B67">
        <w:t xml:space="preserve">disabled </w:t>
      </w:r>
      <w:r w:rsidR="003B06CB" w:rsidRPr="00D13B67">
        <w:t xml:space="preserve">people can </w:t>
      </w:r>
      <w:r w:rsidR="004D0C09" w:rsidRPr="00D13B67">
        <w:t xml:space="preserve">participate in, engage with, or </w:t>
      </w:r>
      <w:r w:rsidR="003B06CB" w:rsidRPr="00D13B67">
        <w:t>use something</w:t>
      </w:r>
      <w:r w:rsidR="004D0C09" w:rsidRPr="00D13B67">
        <w:t>.</w:t>
      </w:r>
      <w:r w:rsidR="003B06CB" w:rsidRPr="00D13B67">
        <w:t xml:space="preserve"> </w:t>
      </w:r>
      <w:r w:rsidR="000D026E" w:rsidRPr="00D13B67">
        <w:t xml:space="preserve">Accessibility is a minimum standard often defined by legislation. Those minimums are not a guarantee that </w:t>
      </w:r>
      <w:r w:rsidR="00981893" w:rsidRPr="00D13B67">
        <w:t>an experience</w:t>
      </w:r>
      <w:r w:rsidR="00461691" w:rsidRPr="00D13B67">
        <w:t xml:space="preserve"> will be pleasant</w:t>
      </w:r>
      <w:r w:rsidR="00981893" w:rsidRPr="00D13B67">
        <w:t xml:space="preserve"> or </w:t>
      </w:r>
      <w:r w:rsidR="0096450B">
        <w:t xml:space="preserve">that </w:t>
      </w:r>
      <w:r w:rsidR="00461691" w:rsidRPr="00D13B67">
        <w:t xml:space="preserve">the </w:t>
      </w:r>
      <w:r w:rsidR="00981893" w:rsidRPr="00D13B67">
        <w:t>content</w:t>
      </w:r>
      <w:r w:rsidR="000D026E" w:rsidRPr="00D13B67">
        <w:t xml:space="preserve"> will be useful</w:t>
      </w:r>
      <w:r w:rsidR="00461691" w:rsidRPr="00D13B67">
        <w:t xml:space="preserve">, </w:t>
      </w:r>
      <w:r w:rsidR="000D026E" w:rsidRPr="00D13B67">
        <w:t>only that under ideal conditions a</w:t>
      </w:r>
      <w:r w:rsidR="00B97E07" w:rsidRPr="00D13B67">
        <w:t xml:space="preserve">ny </w:t>
      </w:r>
      <w:r w:rsidR="000D026E" w:rsidRPr="00D13B67">
        <w:t xml:space="preserve">person should be able to participate or use the content. </w:t>
      </w:r>
      <w:r w:rsidR="005D0D3B" w:rsidRPr="00D13B67">
        <w:t>Digital</w:t>
      </w:r>
      <w:r w:rsidR="004D0C09" w:rsidRPr="00D13B67">
        <w:t xml:space="preserve"> accessibility refers to the state of</w:t>
      </w:r>
      <w:r w:rsidR="003B06CB" w:rsidRPr="00D13B67">
        <w:t xml:space="preserve"> </w:t>
      </w:r>
      <w:r w:rsidR="001E4C8D" w:rsidRPr="00D13B67">
        <w:t xml:space="preserve">digital </w:t>
      </w:r>
      <w:r w:rsidR="003B06CB" w:rsidRPr="00D13B67">
        <w:t xml:space="preserve">content such as websites, documents, or digital media. </w:t>
      </w:r>
      <w:r w:rsidR="00B119F1" w:rsidRPr="00D13B67">
        <w:t xml:space="preserve">When content is less accessible and not compatible with assistive technology, disabled users are excluded. </w:t>
      </w:r>
      <w:r w:rsidR="00200334" w:rsidRPr="00D13B67">
        <w:t xml:space="preserve">Digital accessibility </w:t>
      </w:r>
      <w:r w:rsidR="00117F6D" w:rsidRPr="00D13B67">
        <w:t xml:space="preserve">aims to </w:t>
      </w:r>
      <w:r w:rsidR="00200334" w:rsidRPr="00D13B67">
        <w:t>address issues in the design of technology and digital spaces</w:t>
      </w:r>
      <w:r w:rsidR="00117F6D" w:rsidRPr="00D13B67">
        <w:t>, ensuring</w:t>
      </w:r>
      <w:r w:rsidR="00200334" w:rsidRPr="00D13B67">
        <w:t xml:space="preserve"> that all users can engage with and consume content regardless of disability or technology used, without delay or modification. </w:t>
      </w:r>
      <w:r w:rsidR="006D7F9B" w:rsidRPr="00D13B67">
        <w:t>In digital content, very few things are fully accessible or entirely inaccessible. A more reasonable assessment is to consider something more</w:t>
      </w:r>
      <w:r w:rsidR="007F0CFB" w:rsidRPr="00D13B67">
        <w:t xml:space="preserve"> </w:t>
      </w:r>
      <w:r w:rsidR="006D7F9B" w:rsidRPr="00D13B67">
        <w:t>accessible</w:t>
      </w:r>
      <w:r w:rsidR="007F0CFB" w:rsidRPr="00D13B67">
        <w:t xml:space="preserve"> or less accessible</w:t>
      </w:r>
      <w:r w:rsidR="00A77176" w:rsidRPr="00D13B67">
        <w:t xml:space="preserve">. For example, a website may have some accessibility </w:t>
      </w:r>
      <w:r w:rsidR="008930E6" w:rsidRPr="00D13B67">
        <w:t>errors but</w:t>
      </w:r>
      <w:r w:rsidR="00A77176" w:rsidRPr="00D13B67">
        <w:t xml:space="preserve"> </w:t>
      </w:r>
      <w:r w:rsidR="00F70AC4" w:rsidRPr="00D13B67">
        <w:t>be significantly</w:t>
      </w:r>
      <w:r w:rsidR="00A77176" w:rsidRPr="00D13B67">
        <w:t xml:space="preserve"> </w:t>
      </w:r>
      <w:r w:rsidR="00A77176" w:rsidRPr="00D13B67">
        <w:lastRenderedPageBreak/>
        <w:t>more accessible than a PDF</w:t>
      </w:r>
      <w:r w:rsidR="00B97E07" w:rsidRPr="00D13B67">
        <w:t xml:space="preserve"> of the same information</w:t>
      </w:r>
      <w:r w:rsidR="00A77176" w:rsidRPr="00D13B67">
        <w:t>.</w:t>
      </w:r>
      <w:r w:rsidR="008930E6" w:rsidRPr="00D13B67">
        <w:t xml:space="preserve"> </w:t>
      </w:r>
      <w:r w:rsidR="00DF4167" w:rsidRPr="00D13B67">
        <w:t>Addressing gaps in</w:t>
      </w:r>
      <w:r w:rsidR="00490A37" w:rsidRPr="00D13B67">
        <w:t xml:space="preserve"> digital accessibility </w:t>
      </w:r>
      <w:r w:rsidR="00DF4167" w:rsidRPr="00D13B67">
        <w:t xml:space="preserve">requires attention to several core elements </w:t>
      </w:r>
      <w:r w:rsidR="00490A37" w:rsidRPr="00D13B67">
        <w:t>includ</w:t>
      </w:r>
      <w:r w:rsidR="00DF4167" w:rsidRPr="00D13B67">
        <w:t>ing (but not limited to)</w:t>
      </w:r>
      <w:r w:rsidR="00490A37" w:rsidRPr="00D13B67">
        <w:t xml:space="preserve"> </w:t>
      </w:r>
      <w:r w:rsidR="00B97E07" w:rsidRPr="00D13B67">
        <w:t xml:space="preserve">structured </w:t>
      </w:r>
      <w:r w:rsidR="00490A37" w:rsidRPr="00D13B67">
        <w:t xml:space="preserve">headings, </w:t>
      </w:r>
      <w:r w:rsidR="008C67C8" w:rsidRPr="00D13B67">
        <w:t>meaningful hyper</w:t>
      </w:r>
      <w:r w:rsidR="00490A37" w:rsidRPr="00D13B67">
        <w:t xml:space="preserve">links, </w:t>
      </w:r>
      <w:r w:rsidR="00B97E07" w:rsidRPr="00D13B67">
        <w:t xml:space="preserve">sufficient </w:t>
      </w:r>
      <w:r w:rsidR="00490A37" w:rsidRPr="00D13B67">
        <w:t>color contrast, text alternatives (alternative text for images, captions for video, and transcripts of audio)</w:t>
      </w:r>
      <w:r w:rsidR="00BB34E9" w:rsidRPr="00D13B67">
        <w:t>, and customizability.</w:t>
      </w:r>
      <w:r w:rsidR="005D1873" w:rsidRPr="00D13B67">
        <w:t xml:space="preserve"> </w:t>
      </w:r>
      <w:r w:rsidR="009D0664" w:rsidRPr="00D13B67">
        <w:t>For the more specific purposes of this study</w:t>
      </w:r>
      <w:r w:rsidR="005C142C" w:rsidRPr="00D13B67">
        <w:t xml:space="preserve">, </w:t>
      </w:r>
      <w:r w:rsidR="009D0664" w:rsidRPr="00D13B67">
        <w:t xml:space="preserve">examples of </w:t>
      </w:r>
      <w:r w:rsidR="005C142C" w:rsidRPr="00D13B67">
        <w:t xml:space="preserve">digital learning material that </w:t>
      </w:r>
      <w:r w:rsidR="009D0664" w:rsidRPr="00D13B67">
        <w:t>are</w:t>
      </w:r>
      <w:r w:rsidR="005C142C" w:rsidRPr="00D13B67">
        <w:t xml:space="preserve"> </w:t>
      </w:r>
      <w:r w:rsidR="00990BEB" w:rsidRPr="00D13B67">
        <w:t>easier to make</w:t>
      </w:r>
      <w:r w:rsidR="005C142C" w:rsidRPr="00D13B67">
        <w:t xml:space="preserve"> accessible include</w:t>
      </w:r>
      <w:r w:rsidR="00990BEB" w:rsidRPr="00D13B67">
        <w:t xml:space="preserve"> major learning management systems (however </w:t>
      </w:r>
      <w:r w:rsidR="000D54D3" w:rsidRPr="00D13B67">
        <w:t xml:space="preserve">the accessibility of </w:t>
      </w:r>
      <w:r w:rsidR="00990BEB" w:rsidRPr="00D13B67">
        <w:t>content added to those platforms</w:t>
      </w:r>
      <w:r w:rsidR="00443BAE" w:rsidRPr="00D13B67">
        <w:t xml:space="preserve"> </w:t>
      </w:r>
      <w:r w:rsidR="005C3787" w:rsidRPr="00D13B67">
        <w:t>cannot</w:t>
      </w:r>
      <w:r w:rsidR="00443BAE" w:rsidRPr="00D13B67">
        <w:t xml:space="preserve"> be guaranteed</w:t>
      </w:r>
      <w:r w:rsidR="00990BEB" w:rsidRPr="00D13B67">
        <w:t>)</w:t>
      </w:r>
      <w:r w:rsidR="007A6853" w:rsidRPr="00D13B67">
        <w:t xml:space="preserve"> and</w:t>
      </w:r>
      <w:r w:rsidR="00990BEB" w:rsidRPr="00D13B67">
        <w:t xml:space="preserve"> file formats such as Word</w:t>
      </w:r>
      <w:r w:rsidR="007A6853" w:rsidRPr="00D13B67">
        <w:t>,</w:t>
      </w:r>
      <w:r w:rsidR="00990BEB" w:rsidRPr="00D13B67">
        <w:t xml:space="preserve"> PowerPoint, HTML, </w:t>
      </w:r>
      <w:r w:rsidR="007A6853" w:rsidRPr="00D13B67">
        <w:t xml:space="preserve">and </w:t>
      </w:r>
      <w:r w:rsidR="00990BEB" w:rsidRPr="00D13B67">
        <w:t>EPUB</w:t>
      </w:r>
      <w:r w:rsidR="007A6853" w:rsidRPr="00D13B67">
        <w:t xml:space="preserve"> digital books. Digital publisher platforms and PDFs are often the least accessible</w:t>
      </w:r>
      <w:r w:rsidR="00843F93" w:rsidRPr="00D13B67">
        <w:t xml:space="preserve"> </w:t>
      </w:r>
      <w:r w:rsidR="007A6853" w:rsidRPr="00D13B67">
        <w:t xml:space="preserve">and </w:t>
      </w:r>
      <w:r w:rsidR="0088241A" w:rsidRPr="00D13B67">
        <w:t xml:space="preserve">the </w:t>
      </w:r>
      <w:r w:rsidR="007A6853" w:rsidRPr="00D13B67">
        <w:t>hardest</w:t>
      </w:r>
      <w:r w:rsidR="00843F93" w:rsidRPr="00D13B67">
        <w:t xml:space="preserve"> formats</w:t>
      </w:r>
      <w:r w:rsidR="007A6853" w:rsidRPr="00D13B67">
        <w:t xml:space="preserve"> to make more accessible.</w:t>
      </w:r>
      <w:r w:rsidR="00E44616" w:rsidRPr="00D13B67">
        <w:t xml:space="preserve"> When digital learning material </w:t>
      </w:r>
      <w:r w:rsidR="00383FFA" w:rsidRPr="00D13B67">
        <w:t>has low levels of accessibility, academic accommodations are necessary to ensure disabled students have access.</w:t>
      </w:r>
    </w:p>
    <w:p w14:paraId="071612CF" w14:textId="552BD54B" w:rsidR="007920B1" w:rsidRPr="00D13B67" w:rsidRDefault="007920B1" w:rsidP="002553F4">
      <w:pPr>
        <w:pStyle w:val="Heading2"/>
        <w:rPr>
          <w:rFonts w:eastAsia="Aptos"/>
        </w:rPr>
      </w:pPr>
      <w:bookmarkStart w:id="13" w:name="_Toc228867968"/>
      <w:r w:rsidRPr="00D13B67">
        <w:t>2 Literature Review</w:t>
      </w:r>
      <w:bookmarkEnd w:id="13"/>
    </w:p>
    <w:p w14:paraId="310028F3" w14:textId="4C24BAB2" w:rsidR="002D4CE6" w:rsidRPr="00D13B67" w:rsidRDefault="0086121E" w:rsidP="002D4CE6">
      <w:pPr>
        <w:pStyle w:val="Heading3"/>
      </w:pPr>
      <w:bookmarkStart w:id="14" w:name="_Toc228867969"/>
      <w:r w:rsidRPr="00D13B67">
        <w:t>2.</w:t>
      </w:r>
      <w:r w:rsidR="002D4CE6" w:rsidRPr="00D13B67">
        <w:t>1 Disability and Higher Education</w:t>
      </w:r>
      <w:bookmarkEnd w:id="14"/>
    </w:p>
    <w:p w14:paraId="23F2AD6F" w14:textId="6F7251F7" w:rsidR="00604BEF" w:rsidRPr="00D13B67" w:rsidRDefault="002D4CE6" w:rsidP="0080241A">
      <w:pPr>
        <w:pStyle w:val="Body"/>
      </w:pPr>
      <w:r w:rsidRPr="00D13B67">
        <w:t>In Canada, youth (</w:t>
      </w:r>
      <w:r w:rsidR="005C5845" w:rsidRPr="00D13B67">
        <w:t xml:space="preserve">ages </w:t>
      </w:r>
      <w:r w:rsidRPr="00D13B67">
        <w:t xml:space="preserve">15-24) with disabilities are less likely than non-disabled youth to be enrolled in school (Presley </w:t>
      </w:r>
      <w:r w:rsidR="00F963B5" w:rsidRPr="00D13B67">
        <w:t>&amp;</w:t>
      </w:r>
      <w:r w:rsidRPr="00D13B67">
        <w:t xml:space="preserve"> Statistics Canada, 2025). </w:t>
      </w:r>
      <w:r w:rsidRPr="00D13B67">
        <w:rPr>
          <w:rFonts w:ascii="Aptos" w:eastAsia="Aptos" w:hAnsi="Aptos" w:cs="Aptos"/>
        </w:rPr>
        <w:t xml:space="preserve">According to 2022 data, there were 1,382,140 Canadian students with disabilities (Statistics Canada, 2024b), a 43% rise from 2017 (Statistics Canada, 2017). </w:t>
      </w:r>
      <w:r w:rsidRPr="00D13B67">
        <w:t xml:space="preserve">A 2020 survey of University of British Columbia undergraduate students found that 26% </w:t>
      </w:r>
      <w:r w:rsidR="00EA26DB" w:rsidRPr="00D13B67">
        <w:t>reported having</w:t>
      </w:r>
      <w:r w:rsidRPr="00D13B67">
        <w:t xml:space="preserve"> a disability, up from 22% in 2019 (Friesen, 2024). </w:t>
      </w:r>
      <w:r w:rsidRPr="00D13B67">
        <w:rPr>
          <w:rFonts w:ascii="Aptos" w:eastAsia="Aptos" w:hAnsi="Aptos" w:cs="Aptos"/>
        </w:rPr>
        <w:t>In Ontario for the period 2010-2019</w:t>
      </w:r>
      <w:r w:rsidR="00A07D44" w:rsidRPr="00D13B67">
        <w:rPr>
          <w:rFonts w:ascii="Aptos" w:eastAsia="Aptos" w:hAnsi="Aptos" w:cs="Aptos"/>
        </w:rPr>
        <w:t>,</w:t>
      </w:r>
      <w:r w:rsidRPr="00D13B67">
        <w:rPr>
          <w:rFonts w:ascii="Aptos" w:eastAsia="Aptos" w:hAnsi="Aptos" w:cs="Aptos"/>
        </w:rPr>
        <w:t xml:space="preserve"> the number of post-secondary students seeking accessibility supports rose from 21,643 to 42,000 (Parsons et al., 2021).</w:t>
      </w:r>
      <w:r w:rsidRPr="00D13B67">
        <w:t xml:space="preserve"> The increase in students with disabilities is not unique to Canada. </w:t>
      </w:r>
    </w:p>
    <w:p w14:paraId="0A183D3C" w14:textId="3AB64BAA" w:rsidR="005C3DDB" w:rsidRPr="00D13B67" w:rsidRDefault="002D4CE6" w:rsidP="0080241A">
      <w:pPr>
        <w:pStyle w:val="Body"/>
      </w:pPr>
      <w:r w:rsidRPr="00D13B67">
        <w:lastRenderedPageBreak/>
        <w:t xml:space="preserve">The number of </w:t>
      </w:r>
      <w:r w:rsidR="00075985" w:rsidRPr="00D13B67">
        <w:t xml:space="preserve">Canadian </w:t>
      </w:r>
      <w:r w:rsidRPr="00D13B67">
        <w:t xml:space="preserve">students </w:t>
      </w:r>
      <w:r w:rsidR="00062959" w:rsidRPr="00D13B67">
        <w:t xml:space="preserve">reporting </w:t>
      </w:r>
      <w:r w:rsidRPr="00D13B67">
        <w:t>disabilit</w:t>
      </w:r>
      <w:r w:rsidR="00062959" w:rsidRPr="00D13B67">
        <w:t xml:space="preserve">y </w:t>
      </w:r>
      <w:r w:rsidRPr="00D13B67">
        <w:t xml:space="preserve">rose </w:t>
      </w:r>
      <w:r w:rsidR="00AA0F19" w:rsidRPr="00D13B67">
        <w:t xml:space="preserve">from 7% in 2010 </w:t>
      </w:r>
      <w:r w:rsidRPr="00D13B67">
        <w:t>to 22% by 2018, of which 36% received some form of accommodation (</w:t>
      </w:r>
      <w:r w:rsidR="00584947" w:rsidRPr="00D13B67">
        <w:t>Canadian University Survey Consortium [</w:t>
      </w:r>
      <w:r w:rsidR="00AA0F19" w:rsidRPr="00D13B67">
        <w:t>CUSC</w:t>
      </w:r>
      <w:r w:rsidR="00584947" w:rsidRPr="00D13B67">
        <w:t>]</w:t>
      </w:r>
      <w:r w:rsidR="00AA0F19" w:rsidRPr="00D13B67">
        <w:t xml:space="preserve">, 2010; </w:t>
      </w:r>
      <w:r w:rsidRPr="00D13B67">
        <w:t xml:space="preserve">CUSC, 2018). The number of Canadian university students </w:t>
      </w:r>
      <w:r w:rsidR="00062959" w:rsidRPr="00D13B67">
        <w:t>indicating they had at least one disability</w:t>
      </w:r>
      <w:r w:rsidRPr="00D13B67">
        <w:t xml:space="preserve"> rose to 31% in 2022 but only 6% of total respondents </w:t>
      </w:r>
      <w:r w:rsidR="00062959" w:rsidRPr="00D13B67">
        <w:t>noted</w:t>
      </w:r>
      <w:r w:rsidRPr="00D13B67">
        <w:t xml:space="preserve"> accessing services for students with disabilities (CUSC, 2022). By 2024, the number had risen to 35% with 10% of all students accessing services for students with disabilities (CUSC, 2024). These increases </w:t>
      </w:r>
      <w:r w:rsidR="006D565F" w:rsidRPr="00D13B67">
        <w:t>may</w:t>
      </w:r>
      <w:r w:rsidRPr="00D13B67">
        <w:t xml:space="preserve"> be attributed to increased awareness of disability; greater access to specialized medical and psychological care; legislation; and diversity, equity, and inclusion efforts. However, research suggests that less than 50% of Canadian students with disabilities register with disability support services (</w:t>
      </w:r>
      <w:proofErr w:type="spellStart"/>
      <w:r w:rsidRPr="00D13B67">
        <w:t>Fichten</w:t>
      </w:r>
      <w:proofErr w:type="spellEnd"/>
      <w:r w:rsidRPr="00D13B67">
        <w:t xml:space="preserve"> et al., 2022).</w:t>
      </w:r>
      <w:r w:rsidR="009C3186" w:rsidRPr="00D13B67">
        <w:t xml:space="preserve"> </w:t>
      </w:r>
      <w:r w:rsidR="00062959" w:rsidRPr="00D13B67">
        <w:t>Similarly,</w:t>
      </w:r>
      <w:r w:rsidR="009C3186" w:rsidRPr="00D13B67">
        <w:t xml:space="preserve"> </w:t>
      </w:r>
      <w:r w:rsidR="00565339" w:rsidRPr="00D13B67">
        <w:rPr>
          <w:rFonts w:ascii="Aptos" w:eastAsia="Aptos" w:hAnsi="Aptos" w:cs="Aptos"/>
        </w:rPr>
        <w:t xml:space="preserve">McGregor et al. </w:t>
      </w:r>
      <w:r w:rsidR="00384813" w:rsidRPr="00D13B67">
        <w:rPr>
          <w:rFonts w:ascii="Aptos" w:eastAsia="Aptos" w:hAnsi="Aptos" w:cs="Aptos"/>
        </w:rPr>
        <w:t>(2016)</w:t>
      </w:r>
      <w:r w:rsidR="00565339" w:rsidRPr="00D13B67">
        <w:rPr>
          <w:rFonts w:ascii="Aptos" w:eastAsia="Aptos" w:hAnsi="Aptos" w:cs="Aptos"/>
        </w:rPr>
        <w:t xml:space="preserve"> found that 33% of students with disabilities used accommodations. </w:t>
      </w:r>
      <w:r w:rsidR="009C3186" w:rsidRPr="00D13B67">
        <w:t>Relying on the number of students with the proper documentation, self-advocacy skills, and means to apply for disability support is not an accurate reflection of the number of disabled students in Canadian post-secondary.</w:t>
      </w:r>
      <w:r w:rsidRPr="00D13B67">
        <w:t xml:space="preserve"> 2014 data found that 94% of high school students with disabilities receive some level of support, but only 17% of post-secondary students with disabilities receive any kind of formal support (Krupnick, 2014). </w:t>
      </w:r>
      <w:r w:rsidR="006C3427" w:rsidRPr="00D13B67">
        <w:t xml:space="preserve">Similarly, </w:t>
      </w:r>
      <w:r w:rsidRPr="00D13B67">
        <w:t xml:space="preserve">2015 data suggested that 95% of high school students with disabilities received accommodations, but only 23% of post-secondary students with disabilities did </w:t>
      </w:r>
      <w:r w:rsidRPr="00D13B67">
        <w:rPr>
          <w:rFonts w:ascii="Aptos" w:eastAsia="Aptos" w:hAnsi="Aptos" w:cs="Aptos"/>
        </w:rPr>
        <w:t xml:space="preserve">(Newman </w:t>
      </w:r>
      <w:r w:rsidR="00FA44BF" w:rsidRPr="00D13B67">
        <w:rPr>
          <w:rFonts w:ascii="Aptos" w:eastAsia="Aptos" w:hAnsi="Aptos" w:cs="Aptos"/>
        </w:rPr>
        <w:t>&amp;</w:t>
      </w:r>
      <w:r w:rsidRPr="00D13B67">
        <w:rPr>
          <w:rFonts w:ascii="Aptos" w:eastAsia="Aptos" w:hAnsi="Aptos" w:cs="Aptos"/>
        </w:rPr>
        <w:t xml:space="preserve"> Madaus, 2015)</w:t>
      </w:r>
      <w:r w:rsidRPr="00D13B67">
        <w:t xml:space="preserve">. A 2022 report found that 85% of students with disabilities at four-year colleges received accommodations, while only 57% of students with disabilities at two-year colleges received accommodations (Adam </w:t>
      </w:r>
      <w:r w:rsidR="00FA44BF" w:rsidRPr="00D13B67">
        <w:t>&amp;</w:t>
      </w:r>
      <w:r w:rsidRPr="00D13B67">
        <w:t xml:space="preserve"> Warner-Griffin, 2022). These statistics suggest an alarming disparity between the number of disabled </w:t>
      </w:r>
      <w:r w:rsidRPr="00D13B67">
        <w:lastRenderedPageBreak/>
        <w:t xml:space="preserve">students and the number of disabled students registered with disability support services. </w:t>
      </w:r>
      <w:r w:rsidR="00B953B0" w:rsidRPr="00D13B67">
        <w:t>Th</w:t>
      </w:r>
      <w:r w:rsidR="003F2957" w:rsidRPr="00D13B67">
        <w:t>is</w:t>
      </w:r>
      <w:r w:rsidR="00B953B0" w:rsidRPr="00D13B67">
        <w:t xml:space="preserve"> disparit</w:t>
      </w:r>
      <w:r w:rsidR="003F2957" w:rsidRPr="00D13B67">
        <w:t>y</w:t>
      </w:r>
      <w:r w:rsidR="00B953B0" w:rsidRPr="00D13B67">
        <w:t>, in line with the difference in disability rates and engagement with services, are likely due to disclosure rates.</w:t>
      </w:r>
      <w:r w:rsidR="003F2957" w:rsidRPr="00D13B67">
        <w:t xml:space="preserve"> Stigma</w:t>
      </w:r>
      <w:r w:rsidR="00597AB1" w:rsidRPr="00D13B67">
        <w:t xml:space="preserve">, barriers to accessing supports and services, and the impediments of bureaucracy (as discussed in </w:t>
      </w:r>
      <w:r w:rsidR="003D75CA" w:rsidRPr="00D13B67">
        <w:t>later sections) may also significantly impact</w:t>
      </w:r>
      <w:r w:rsidR="00755AD2" w:rsidRPr="00D13B67">
        <w:t xml:space="preserve"> student’s willingness and capacity to disclose disability and engage</w:t>
      </w:r>
      <w:r w:rsidR="005E1B70" w:rsidRPr="00D13B67">
        <w:t xml:space="preserve"> with</w:t>
      </w:r>
      <w:r w:rsidR="00755AD2" w:rsidRPr="00D13B67">
        <w:t xml:space="preserve"> </w:t>
      </w:r>
      <w:r w:rsidR="006C3427" w:rsidRPr="00D13B67">
        <w:t xml:space="preserve">support </w:t>
      </w:r>
      <w:r w:rsidR="00755AD2" w:rsidRPr="00D13B67">
        <w:t>services.</w:t>
      </w:r>
    </w:p>
    <w:p w14:paraId="38608779" w14:textId="06B73E8E" w:rsidR="002D4CE6" w:rsidRPr="00D13B67" w:rsidRDefault="000D3F54" w:rsidP="002D4CE6">
      <w:pPr>
        <w:pStyle w:val="Body"/>
      </w:pPr>
      <w:r w:rsidRPr="00D13B67">
        <w:t xml:space="preserve">A 2015 study found that 35% of students with disabilities informed their college </w:t>
      </w:r>
      <w:r w:rsidR="001D1219" w:rsidRPr="00D13B67">
        <w:t xml:space="preserve">of their disability </w:t>
      </w:r>
      <w:r w:rsidRPr="00D13B67">
        <w:t xml:space="preserve">(Newman </w:t>
      </w:r>
      <w:r w:rsidR="003D7820" w:rsidRPr="00D13B67">
        <w:t>&amp;</w:t>
      </w:r>
      <w:r w:rsidRPr="00D13B67">
        <w:t xml:space="preserve"> Madaus, 2015). </w:t>
      </w:r>
      <w:r w:rsidR="006C3427" w:rsidRPr="00D13B67">
        <w:t>More recently, a</w:t>
      </w:r>
      <w:r w:rsidRPr="00D13B67">
        <w:t xml:space="preserve"> 2022 report found that only 37% of American college students with disabilities informed their college (Adam </w:t>
      </w:r>
      <w:r w:rsidR="003D7820" w:rsidRPr="00D13B67">
        <w:t>&amp;</w:t>
      </w:r>
      <w:r w:rsidRPr="00D13B67">
        <w:t xml:space="preserve"> Warner-Griffin, 2022). Numerous studies find that many students do not report disabilities to support offices or instructors, with potentially as many as 75% of disabled students not disclosing their disability and consequently do not receive support services or accommodations (Jackson, 2023).  A 2025 analysis found that only 15% of students with disabilities disclosed at two-year institutions, while 35% of students with disabilities disclosed at four-year institutions</w:t>
      </w:r>
      <w:r w:rsidR="005A4565" w:rsidRPr="00D13B67">
        <w:t xml:space="preserve">. </w:t>
      </w:r>
      <w:r w:rsidR="002D4CE6" w:rsidRPr="00D13B67">
        <w:t xml:space="preserve">Even with such low rates of engagement with disability support, </w:t>
      </w:r>
      <w:r w:rsidR="005A4565" w:rsidRPr="00D13B67">
        <w:t>the same</w:t>
      </w:r>
      <w:r w:rsidR="00862802" w:rsidRPr="00D13B67">
        <w:t xml:space="preserve"> study found that </w:t>
      </w:r>
      <w:r w:rsidR="002D4CE6" w:rsidRPr="00D13B67">
        <w:t>there is only 1 disability office staff member for 200 disclosing students with disabilities at American two-year institutions, with that ratio decreasing to 1 staff member for every 75 disclosing students at four-year institutions (Beck Wells, 2025). Anecdotal evidence suggests 300-400 students per accessibility staff member in Ontario (</w:t>
      </w:r>
      <w:proofErr w:type="spellStart"/>
      <w:r w:rsidR="002D4CE6" w:rsidRPr="00D13B67">
        <w:t>Lew</w:t>
      </w:r>
      <w:r w:rsidR="00D94469" w:rsidRPr="00D13B67">
        <w:t>se</w:t>
      </w:r>
      <w:r w:rsidR="002D4CE6" w:rsidRPr="00D13B67">
        <w:t>n</w:t>
      </w:r>
      <w:proofErr w:type="spellEnd"/>
      <w:r w:rsidR="002D4CE6" w:rsidRPr="00D13B67">
        <w:t>, 2024).</w:t>
      </w:r>
      <w:r w:rsidR="00DC63CA" w:rsidRPr="00D13B67">
        <w:t xml:space="preserve"> With such imbalances between support needed and capacity, better strategies, such as proactive accessibility, are necessary to effectively include disabled students.</w:t>
      </w:r>
    </w:p>
    <w:p w14:paraId="208356E2" w14:textId="7A5863DE" w:rsidR="003051A1" w:rsidRPr="00D13B67" w:rsidRDefault="0086121E" w:rsidP="003051A1">
      <w:pPr>
        <w:pStyle w:val="Heading4"/>
      </w:pPr>
      <w:bookmarkStart w:id="15" w:name="_Toc228867970"/>
      <w:r w:rsidRPr="00D13B67">
        <w:lastRenderedPageBreak/>
        <w:t>2.</w:t>
      </w:r>
      <w:r w:rsidR="00A8772E" w:rsidRPr="00D13B67">
        <w:t xml:space="preserve">1.1 </w:t>
      </w:r>
      <w:r w:rsidR="003051A1" w:rsidRPr="00D13B67">
        <w:t>Technology Related Accommodations</w:t>
      </w:r>
      <w:bookmarkEnd w:id="15"/>
      <w:r w:rsidR="003051A1" w:rsidRPr="00D13B67">
        <w:t xml:space="preserve"> </w:t>
      </w:r>
    </w:p>
    <w:p w14:paraId="5E6C7E41" w14:textId="7A126457" w:rsidR="009A5FBC" w:rsidRPr="00D13B67" w:rsidRDefault="00F97D32" w:rsidP="003713E8">
      <w:pPr>
        <w:pStyle w:val="Body"/>
        <w:rPr>
          <w:rFonts w:eastAsia="Aptos"/>
        </w:rPr>
      </w:pPr>
      <w:r w:rsidRPr="00D13B67">
        <w:t>Narrowing these statistics,</w:t>
      </w:r>
      <w:r w:rsidR="002D4CE6" w:rsidRPr="00D13B67">
        <w:t xml:space="preserve"> i</w:t>
      </w:r>
      <w:r w:rsidR="002D4CE6" w:rsidRPr="00D13B67">
        <w:rPr>
          <w:rFonts w:eastAsia="Aptos"/>
        </w:rPr>
        <w:t xml:space="preserve">n 2017 26.1% of </w:t>
      </w:r>
      <w:r w:rsidR="00546F26" w:rsidRPr="00D13B67">
        <w:rPr>
          <w:rFonts w:eastAsia="Aptos"/>
        </w:rPr>
        <w:t xml:space="preserve">self-reported disabled </w:t>
      </w:r>
      <w:r w:rsidR="002D4CE6" w:rsidRPr="00D13B67">
        <w:rPr>
          <w:rFonts w:eastAsia="Aptos"/>
        </w:rPr>
        <w:t>Canadian post-secondary students required assistive devices or modification of course curriculum (</w:t>
      </w:r>
      <w:proofErr w:type="spellStart"/>
      <w:r w:rsidR="002D4CE6" w:rsidRPr="00D13B67">
        <w:rPr>
          <w:rFonts w:eastAsia="Aptos"/>
        </w:rPr>
        <w:t>Furrie</w:t>
      </w:r>
      <w:proofErr w:type="spellEnd"/>
      <w:r w:rsidR="002D4CE6" w:rsidRPr="00D13B67">
        <w:rPr>
          <w:rFonts w:eastAsia="Aptos"/>
        </w:rPr>
        <w:t>, 2017). This figure, while dated, is important as assistive devices and alternate formats are common for the consumption of digital learning material. Of 1,382,140 Canadian students with disabilities</w:t>
      </w:r>
      <w:r w:rsidR="0003435E" w:rsidRPr="00D13B67">
        <w:rPr>
          <w:rFonts w:eastAsia="Aptos"/>
        </w:rPr>
        <w:t xml:space="preserve"> in 2024</w:t>
      </w:r>
      <w:r w:rsidR="002D4CE6" w:rsidRPr="00D13B67">
        <w:rPr>
          <w:rFonts w:eastAsia="Aptos"/>
        </w:rPr>
        <w:t>, 34.7% “require devices, support services or modifications” and 46.3% of those students had unmet needs (Statistics Canada, 2024b). More specific</w:t>
      </w:r>
      <w:r w:rsidR="007F6AFF" w:rsidRPr="00D13B67">
        <w:rPr>
          <w:rFonts w:eastAsia="Aptos"/>
        </w:rPr>
        <w:t xml:space="preserve"> to digital learning material, </w:t>
      </w:r>
      <w:r w:rsidR="002D4CE6" w:rsidRPr="00D13B67">
        <w:rPr>
          <w:rFonts w:eastAsia="Aptos"/>
        </w:rPr>
        <w:t xml:space="preserve">according to 2023 data, 5.2 million Canadians had difficulty reading print material, with 77.4% of those indicating a difficulty seeing print while 42.2% had difficulty reading or understanding printed words (McDiarmid </w:t>
      </w:r>
      <w:r w:rsidR="00E04FB3" w:rsidRPr="00D13B67">
        <w:rPr>
          <w:rFonts w:eastAsia="Aptos"/>
        </w:rPr>
        <w:t>&amp;</w:t>
      </w:r>
      <w:r w:rsidR="002D4CE6" w:rsidRPr="00D13B67">
        <w:rPr>
          <w:rFonts w:eastAsia="Aptos"/>
        </w:rPr>
        <w:t xml:space="preserve"> Statistics Canada, 2023). Of those 5.2 million Canadians, 85.2% used an assistive aid, device, or technology to assist with viewing or reading printed materials and 51.5% required at least one alternate format</w:t>
      </w:r>
      <w:r w:rsidR="0003435E" w:rsidRPr="00D13B67">
        <w:rPr>
          <w:rFonts w:eastAsia="Aptos"/>
        </w:rPr>
        <w:t xml:space="preserve">. </w:t>
      </w:r>
      <w:r w:rsidR="002D4CE6" w:rsidRPr="00D13B67">
        <w:rPr>
          <w:rFonts w:eastAsia="Aptos"/>
        </w:rPr>
        <w:t>Among users of alternate formats, 26.7% used digital versions including electronic braille, large print digital formats, accessible PDFs, EP</w:t>
      </w:r>
      <w:r w:rsidR="00E97B62" w:rsidRPr="00D13B67">
        <w:rPr>
          <w:rFonts w:eastAsia="Aptos"/>
        </w:rPr>
        <w:t>UB</w:t>
      </w:r>
      <w:r w:rsidR="002D4CE6" w:rsidRPr="00D13B67">
        <w:rPr>
          <w:rFonts w:eastAsia="Aptos"/>
        </w:rPr>
        <w:t xml:space="preserve"> files, digital audio formats, DAISY books, and descriptive video</w:t>
      </w:r>
      <w:r w:rsidR="0003435E" w:rsidRPr="00D13B67">
        <w:rPr>
          <w:rFonts w:eastAsia="Aptos"/>
        </w:rPr>
        <w:t xml:space="preserve">. </w:t>
      </w:r>
      <w:r w:rsidR="002D4CE6" w:rsidRPr="00D13B67">
        <w:rPr>
          <w:rFonts w:eastAsia="Aptos"/>
          <w:color w:val="000000" w:themeColor="text1"/>
        </w:rPr>
        <w:t xml:space="preserve">Adaptations to reading and writing are the </w:t>
      </w:r>
      <w:r w:rsidR="00E42C9C" w:rsidRPr="00D13B67">
        <w:rPr>
          <w:rFonts w:eastAsia="Aptos"/>
          <w:color w:val="000000" w:themeColor="text1"/>
        </w:rPr>
        <w:t>most used</w:t>
      </w:r>
      <w:r w:rsidR="002D4CE6" w:rsidRPr="00D13B67">
        <w:rPr>
          <w:rFonts w:eastAsia="Aptos"/>
          <w:color w:val="000000" w:themeColor="text1"/>
        </w:rPr>
        <w:t xml:space="preserve"> assistive technology in post-secondary education, including tools that read text aloud (</w:t>
      </w:r>
      <w:proofErr w:type="spellStart"/>
      <w:r w:rsidR="002D4CE6" w:rsidRPr="00D13B67">
        <w:rPr>
          <w:rFonts w:eastAsia="Aptos"/>
          <w:color w:val="000000" w:themeColor="text1"/>
        </w:rPr>
        <w:t>Fichten</w:t>
      </w:r>
      <w:proofErr w:type="spellEnd"/>
      <w:r w:rsidR="002D4CE6" w:rsidRPr="00D13B67">
        <w:rPr>
          <w:rFonts w:eastAsia="Aptos"/>
          <w:color w:val="000000" w:themeColor="text1"/>
        </w:rPr>
        <w:t xml:space="preserve"> et al., 2022).</w:t>
      </w:r>
      <w:r w:rsidR="00E66593" w:rsidRPr="00D13B67">
        <w:rPr>
          <w:rFonts w:eastAsia="Aptos"/>
          <w:color w:val="000000" w:themeColor="text1"/>
        </w:rPr>
        <w:t xml:space="preserve"> </w:t>
      </w:r>
      <w:r w:rsidR="009A5FBC" w:rsidRPr="00D13B67">
        <w:rPr>
          <w:rFonts w:ascii="Aptos" w:eastAsia="Aptos" w:hAnsi="Aptos" w:cs="Aptos"/>
        </w:rPr>
        <w:t>A</w:t>
      </w:r>
      <w:r w:rsidR="009A5FBC" w:rsidRPr="00D13B67">
        <w:rPr>
          <w:rFonts w:eastAsia="Aptos"/>
        </w:rPr>
        <w:t xml:space="preserve"> 2023 study extrapolated data from </w:t>
      </w:r>
      <w:r w:rsidR="00BA7723" w:rsidRPr="00D13B67">
        <w:rPr>
          <w:rFonts w:eastAsia="Aptos"/>
        </w:rPr>
        <w:t>2002 to suggest</w:t>
      </w:r>
      <w:r w:rsidR="009A5FBC" w:rsidRPr="00D13B67">
        <w:rPr>
          <w:rFonts w:eastAsia="Aptos"/>
        </w:rPr>
        <w:t xml:space="preserve"> that roughly 8% of Americans have a disability that affects their ability to use computers (Rowland, 2023).</w:t>
      </w:r>
      <w:r w:rsidR="00BA7723" w:rsidRPr="00D13B67">
        <w:rPr>
          <w:rFonts w:eastAsia="Aptos"/>
        </w:rPr>
        <w:t xml:space="preserve"> </w:t>
      </w:r>
      <w:r w:rsidR="006856DD" w:rsidRPr="00D13B67">
        <w:rPr>
          <w:rFonts w:eastAsia="Aptos"/>
        </w:rPr>
        <w:t>Considering</w:t>
      </w:r>
      <w:r w:rsidR="00C26937" w:rsidRPr="00D13B67">
        <w:rPr>
          <w:rFonts w:eastAsia="Aptos"/>
        </w:rPr>
        <w:t xml:space="preserve"> CUSC</w:t>
      </w:r>
      <w:r w:rsidR="003713E8" w:rsidRPr="00D13B67">
        <w:rPr>
          <w:rFonts w:eastAsia="Aptos"/>
        </w:rPr>
        <w:t>’s findings that</w:t>
      </w:r>
      <w:r w:rsidR="00C26937" w:rsidRPr="00D13B67">
        <w:rPr>
          <w:rFonts w:eastAsia="Aptos"/>
        </w:rPr>
        <w:t xml:space="preserve"> 22% of Canadian university students </w:t>
      </w:r>
      <w:r w:rsidR="006856DD" w:rsidRPr="00D13B67">
        <w:rPr>
          <w:rFonts w:eastAsia="Aptos"/>
        </w:rPr>
        <w:t>report having</w:t>
      </w:r>
      <w:r w:rsidR="00C26937" w:rsidRPr="00D13B67">
        <w:rPr>
          <w:rFonts w:eastAsia="Aptos"/>
        </w:rPr>
        <w:t xml:space="preserve"> a disability and </w:t>
      </w:r>
      <w:r w:rsidR="003713E8" w:rsidRPr="00D13B67">
        <w:rPr>
          <w:rFonts w:eastAsia="Aptos"/>
        </w:rPr>
        <w:t>Statistics Canada’s 2024 findings that 34.7% of Canadian disabled students use devices</w:t>
      </w:r>
      <w:r w:rsidR="00221F8C" w:rsidRPr="00D13B67">
        <w:rPr>
          <w:rFonts w:eastAsia="Aptos"/>
        </w:rPr>
        <w:t xml:space="preserve">, one could infer that </w:t>
      </w:r>
      <w:r w:rsidR="002B1D27" w:rsidRPr="00D13B67">
        <w:rPr>
          <w:rFonts w:eastAsia="Aptos"/>
        </w:rPr>
        <w:t>around 7</w:t>
      </w:r>
      <w:r w:rsidR="00221F8C" w:rsidRPr="00D13B67">
        <w:rPr>
          <w:rFonts w:eastAsia="Aptos"/>
        </w:rPr>
        <w:t xml:space="preserve">% of disabled Canadian university students have a disability affecting their ability to use </w:t>
      </w:r>
      <w:r w:rsidR="006856DD" w:rsidRPr="00D13B67">
        <w:rPr>
          <w:rFonts w:eastAsia="Aptos"/>
        </w:rPr>
        <w:t xml:space="preserve">a </w:t>
      </w:r>
      <w:r w:rsidR="00221F8C" w:rsidRPr="00D13B67">
        <w:rPr>
          <w:rFonts w:eastAsia="Aptos"/>
        </w:rPr>
        <w:t>computer</w:t>
      </w:r>
      <w:r w:rsidR="006856DD" w:rsidRPr="00D13B67">
        <w:rPr>
          <w:rFonts w:eastAsia="Aptos"/>
        </w:rPr>
        <w:t xml:space="preserve">. This number </w:t>
      </w:r>
      <w:r w:rsidR="006856DD" w:rsidRPr="00D13B67">
        <w:rPr>
          <w:rFonts w:eastAsia="Aptos"/>
        </w:rPr>
        <w:lastRenderedPageBreak/>
        <w:t>is</w:t>
      </w:r>
      <w:r w:rsidR="00221F8C" w:rsidRPr="00D13B67">
        <w:rPr>
          <w:rFonts w:eastAsia="Aptos"/>
        </w:rPr>
        <w:t xml:space="preserve"> in line with Rowland’s extrapolation. </w:t>
      </w:r>
      <w:r w:rsidR="00376F02" w:rsidRPr="00D13B67">
        <w:rPr>
          <w:rFonts w:eastAsia="Aptos"/>
        </w:rPr>
        <w:t xml:space="preserve">However, that would not account for disabled students that report no difficulty using a </w:t>
      </w:r>
      <w:r w:rsidR="006856DD" w:rsidRPr="00D13B67">
        <w:rPr>
          <w:rFonts w:eastAsia="Aptos"/>
        </w:rPr>
        <w:t>computer but</w:t>
      </w:r>
      <w:r w:rsidR="00376F02" w:rsidRPr="00D13B67">
        <w:rPr>
          <w:rFonts w:eastAsia="Aptos"/>
        </w:rPr>
        <w:t xml:space="preserve"> require the use of assistive technology to aid with some other factor.</w:t>
      </w:r>
      <w:r w:rsidR="006856DD" w:rsidRPr="00D13B67">
        <w:rPr>
          <w:rFonts w:eastAsia="Aptos"/>
        </w:rPr>
        <w:t xml:space="preserve"> </w:t>
      </w:r>
      <w:r w:rsidR="00EF110C" w:rsidRPr="00D13B67">
        <w:rPr>
          <w:rFonts w:eastAsia="Aptos"/>
        </w:rPr>
        <w:t xml:space="preserve">The number of disabled students in Canadian post-secondary is not completely clear. </w:t>
      </w:r>
      <w:r w:rsidR="00D85F1A" w:rsidRPr="00D13B67">
        <w:rPr>
          <w:rFonts w:eastAsia="Aptos"/>
        </w:rPr>
        <w:t>Due to important confidentiality considerations, institutions do not report on the number of disabled students and that number would only reflect those self-disclosing to the institution. Regardless of the exact number, it is significant</w:t>
      </w:r>
      <w:r w:rsidR="00363B45" w:rsidRPr="00D13B67">
        <w:rPr>
          <w:rFonts w:eastAsia="Aptos"/>
        </w:rPr>
        <w:t>,</w:t>
      </w:r>
      <w:r w:rsidR="00D85F1A" w:rsidRPr="00D13B67">
        <w:rPr>
          <w:rFonts w:eastAsia="Aptos"/>
        </w:rPr>
        <w:t xml:space="preserve"> and </w:t>
      </w:r>
      <w:r w:rsidR="00363B45" w:rsidRPr="00D13B67">
        <w:rPr>
          <w:rFonts w:eastAsia="Aptos"/>
        </w:rPr>
        <w:t xml:space="preserve">ensuring </w:t>
      </w:r>
      <w:r w:rsidR="009A4592" w:rsidRPr="00D13B67">
        <w:rPr>
          <w:rFonts w:eastAsia="Aptos"/>
        </w:rPr>
        <w:t xml:space="preserve">digital learning material </w:t>
      </w:r>
      <w:r w:rsidR="00363B45" w:rsidRPr="00D13B67">
        <w:rPr>
          <w:rFonts w:eastAsia="Aptos"/>
        </w:rPr>
        <w:t xml:space="preserve">is accessible </w:t>
      </w:r>
      <w:r w:rsidR="009A4592" w:rsidRPr="00D13B67">
        <w:rPr>
          <w:rFonts w:eastAsia="Aptos"/>
        </w:rPr>
        <w:t xml:space="preserve">should be a </w:t>
      </w:r>
      <w:r w:rsidR="00582B37" w:rsidRPr="00D13B67">
        <w:rPr>
          <w:rFonts w:eastAsia="Aptos"/>
        </w:rPr>
        <w:t>principal</w:t>
      </w:r>
      <w:r w:rsidR="009A4592" w:rsidRPr="00D13B67">
        <w:rPr>
          <w:rFonts w:eastAsia="Aptos"/>
        </w:rPr>
        <w:t xml:space="preserve"> concern </w:t>
      </w:r>
      <w:r w:rsidR="003B2334" w:rsidRPr="00D13B67">
        <w:rPr>
          <w:rFonts w:eastAsia="Aptos"/>
        </w:rPr>
        <w:t>for</w:t>
      </w:r>
      <w:r w:rsidR="009A4592" w:rsidRPr="00D13B67">
        <w:rPr>
          <w:rFonts w:eastAsia="Aptos"/>
        </w:rPr>
        <w:t xml:space="preserve"> post-secondary institutions. </w:t>
      </w:r>
    </w:p>
    <w:p w14:paraId="0E69A3A3" w14:textId="1CF09E26" w:rsidR="00B93554" w:rsidRPr="00D13B67" w:rsidRDefault="00A926F3" w:rsidP="0080241A">
      <w:pPr>
        <w:pStyle w:val="Body"/>
        <w:rPr>
          <w:rFonts w:eastAsiaTheme="minorEastAsia" w:cstheme="minorBidi"/>
        </w:rPr>
      </w:pPr>
      <w:r w:rsidRPr="00D13B67">
        <w:t>Research suggest</w:t>
      </w:r>
      <w:r w:rsidR="765CA61D" w:rsidRPr="00D13B67">
        <w:t>s</w:t>
      </w:r>
      <w:r w:rsidRPr="00D13B67">
        <w:t xml:space="preserve"> that academic accommodations are most often related to assessments (Edwards et al., 2022). This </w:t>
      </w:r>
      <w:r w:rsidR="003B2334" w:rsidRPr="00D13B67">
        <w:t>reflects an assumption</w:t>
      </w:r>
      <w:r w:rsidRPr="00D13B67">
        <w:t xml:space="preserve"> that learning is related to high-stakes tests alone and does not reflect the modern teaching and learning experience (Dolmage, 2017). </w:t>
      </w:r>
      <w:r w:rsidRPr="00D13B67">
        <w:rPr>
          <w:rFonts w:ascii="Aptos" w:eastAsia="Aptos" w:hAnsi="Aptos" w:cs="Aptos"/>
        </w:rPr>
        <w:t>Determining the number of students that use an alternate format accommodation, in which content is remediated to a more accessible format,</w:t>
      </w:r>
      <w:r w:rsidR="009E2AEB" w:rsidRPr="00D13B67">
        <w:rPr>
          <w:rFonts w:ascii="Aptos" w:eastAsia="Aptos" w:hAnsi="Aptos" w:cs="Aptos"/>
        </w:rPr>
        <w:t xml:space="preserve"> and the general accessibility of digital learning material</w:t>
      </w:r>
      <w:r w:rsidRPr="00D13B67">
        <w:rPr>
          <w:rFonts w:ascii="Aptos" w:eastAsia="Aptos" w:hAnsi="Aptos" w:cs="Aptos"/>
        </w:rPr>
        <w:t xml:space="preserve"> is difficult due to the lack of study on the topic.</w:t>
      </w:r>
      <w:r w:rsidR="000A0A05" w:rsidRPr="00D13B67">
        <w:rPr>
          <w:rFonts w:ascii="Aptos" w:eastAsia="Aptos" w:hAnsi="Aptos" w:cs="Aptos"/>
        </w:rPr>
        <w:t xml:space="preserve"> </w:t>
      </w:r>
      <w:r w:rsidR="003B2334" w:rsidRPr="00D13B67">
        <w:t xml:space="preserve">A 2009 study found inaccessible course materials were a significant concern for both students and faculty (Matthews, 2009). A 2020 study noted that learning materials, amongst other concerns, were significant barriers for disabled students (Bartz, 2020). A 2022 study also noted curriculum design and pedagogy, including format, as barriers reported by disabled students (Edwards et al., 2022). </w:t>
      </w:r>
      <w:r w:rsidR="000A0A05" w:rsidRPr="00D13B67">
        <w:rPr>
          <w:rFonts w:ascii="Aptos" w:eastAsia="Aptos" w:hAnsi="Aptos" w:cs="Aptos"/>
        </w:rPr>
        <w:t xml:space="preserve">Without mentioning specific formats, </w:t>
      </w:r>
      <w:r w:rsidR="000A0A05" w:rsidRPr="00D13B67">
        <w:t>a 2025</w:t>
      </w:r>
      <w:r w:rsidR="001311B9" w:rsidRPr="00D13B67">
        <w:t xml:space="preserve"> study involving 50 disabled students found significant barriers </w:t>
      </w:r>
      <w:r w:rsidR="009541A2" w:rsidRPr="00D13B67">
        <w:t xml:space="preserve">in pedagogy and course design (Marom </w:t>
      </w:r>
      <w:r w:rsidR="00FD079B" w:rsidRPr="00D13B67">
        <w:t>&amp;</w:t>
      </w:r>
      <w:r w:rsidR="009541A2" w:rsidRPr="00D13B67">
        <w:t xml:space="preserve"> Hardwick, 2025).</w:t>
      </w:r>
      <w:r w:rsidR="00500A10" w:rsidRPr="00D13B67">
        <w:t xml:space="preserve"> </w:t>
      </w:r>
      <w:r w:rsidR="008B1F95" w:rsidRPr="00D13B67">
        <w:t xml:space="preserve">However, none of these studies meaningfully </w:t>
      </w:r>
      <w:r w:rsidR="008B1F95" w:rsidRPr="00D13B67">
        <w:lastRenderedPageBreak/>
        <w:t xml:space="preserve">address specific </w:t>
      </w:r>
      <w:r w:rsidR="009D47CB" w:rsidRPr="00D13B67">
        <w:t xml:space="preserve">inaccessible </w:t>
      </w:r>
      <w:r w:rsidR="008B1F95" w:rsidRPr="00D13B67">
        <w:t xml:space="preserve">formats </w:t>
      </w:r>
      <w:r w:rsidR="00141035" w:rsidRPr="00D13B67">
        <w:t>nor do they provide tangible next steps</w:t>
      </w:r>
      <w:r w:rsidR="009D47CB" w:rsidRPr="00D13B67">
        <w:t xml:space="preserve"> to improve the student experience. </w:t>
      </w:r>
    </w:p>
    <w:p w14:paraId="7937A7AE" w14:textId="7A06155A" w:rsidR="003051A1" w:rsidRPr="00D13B67" w:rsidRDefault="0086121E" w:rsidP="003051A1">
      <w:pPr>
        <w:pStyle w:val="Heading4"/>
      </w:pPr>
      <w:bookmarkStart w:id="16" w:name="_Toc228867971"/>
      <w:r w:rsidRPr="00D13B67">
        <w:t>2.</w:t>
      </w:r>
      <w:r w:rsidR="00A8772E" w:rsidRPr="00D13B67">
        <w:t xml:space="preserve">1.2 </w:t>
      </w:r>
      <w:r w:rsidR="009A4592" w:rsidRPr="00D13B67">
        <w:t>Retention and Completion</w:t>
      </w:r>
      <w:bookmarkEnd w:id="16"/>
    </w:p>
    <w:p w14:paraId="4B4C7E03" w14:textId="5D511638" w:rsidR="6F9EF420" w:rsidRPr="00D13B67" w:rsidRDefault="00F777BC" w:rsidP="0080241A">
      <w:pPr>
        <w:pStyle w:val="Body"/>
        <w:rPr>
          <w:rFonts w:ascii="Aptos" w:eastAsia="Aptos" w:hAnsi="Aptos" w:cs="Aptos"/>
        </w:rPr>
      </w:pPr>
      <w:r w:rsidRPr="00D13B67">
        <w:t>In discussing disability and higher education</w:t>
      </w:r>
      <w:r w:rsidR="0070565F" w:rsidRPr="00D13B67">
        <w:t>,</w:t>
      </w:r>
      <w:r w:rsidR="33E8AFE8" w:rsidRPr="00D13B67">
        <w:t xml:space="preserve"> retention and program completion rates</w:t>
      </w:r>
      <w:r w:rsidRPr="00D13B67">
        <w:t xml:space="preserve"> must also be considered</w:t>
      </w:r>
      <w:r w:rsidR="33E8AFE8" w:rsidRPr="00D13B67">
        <w:t xml:space="preserve">. </w:t>
      </w:r>
      <w:r w:rsidR="0070565F" w:rsidRPr="00D13B67">
        <w:t>In 2017, t</w:t>
      </w:r>
      <w:r w:rsidR="33E8AFE8" w:rsidRPr="00D13B67">
        <w:t>he Canadian Human Rights Commission found</w:t>
      </w:r>
      <w:r w:rsidR="0070565F" w:rsidRPr="00D13B67">
        <w:t xml:space="preserve"> </w:t>
      </w:r>
      <w:r w:rsidR="33E8AFE8" w:rsidRPr="00D13B67">
        <w:t xml:space="preserve">that 10% of Canadians with disabilities stopped their education due to their disability (2017). The same report found that 20% of Canadian </w:t>
      </w:r>
      <w:r w:rsidR="00910402" w:rsidRPr="00D13B67">
        <w:t xml:space="preserve">disabled </w:t>
      </w:r>
      <w:r w:rsidR="33E8AFE8" w:rsidRPr="00D13B67">
        <w:t xml:space="preserve">students altered their course of study due to their disability and that Canadian students with disabilities take fewer courses and take longer to complete their educational targets (Canadian Human Rights Commission, 2017). </w:t>
      </w:r>
      <w:r w:rsidR="00910402" w:rsidRPr="00D13B67">
        <w:t>A 2013</w:t>
      </w:r>
      <w:r w:rsidR="33E8AFE8" w:rsidRPr="00D13B67">
        <w:t xml:space="preserve"> study found that 14% of Ontario students with disabilities withdrew from their studies within 1-3 years, compared to 8% for students without disabilities (McCloy &amp; DeClou, 2013). </w:t>
      </w:r>
      <w:r w:rsidR="002D4CE6" w:rsidRPr="00D13B67">
        <w:t xml:space="preserve">The Organization for Economic Co-operation and Development (OECD) found that students with disabilities are less likely </w:t>
      </w:r>
      <w:r w:rsidR="00E42C9C" w:rsidRPr="00D13B67">
        <w:t xml:space="preserve">to </w:t>
      </w:r>
      <w:r w:rsidR="002D4CE6" w:rsidRPr="00D13B67">
        <w:t>complete post-secondary education and if they do complete their studies, they take longer than non-disabled peers (OECD, 2011). Students with disabilities are more likely than non-disabled peers to fail courses in their first year and have lower GPAs (Parsons et al., 2021). Disabled students that complete their studies have more student debt than non-disabled students (Dolmage, 2017).</w:t>
      </w:r>
      <w:r w:rsidR="00E42C9C" w:rsidRPr="00D13B67">
        <w:t xml:space="preserve"> </w:t>
      </w:r>
      <w:r w:rsidR="004A7735" w:rsidRPr="00D13B67">
        <w:t>When considering retention, program completion</w:t>
      </w:r>
      <w:r w:rsidR="00B7361A" w:rsidRPr="00D13B67">
        <w:t xml:space="preserve"> rates and duration</w:t>
      </w:r>
      <w:r w:rsidR="004A7735" w:rsidRPr="00D13B67">
        <w:t>, overall ‘success’</w:t>
      </w:r>
      <w:r w:rsidR="00B7361A" w:rsidRPr="00D13B67">
        <w:t xml:space="preserve">, and other factors such as debt, a rift </w:t>
      </w:r>
      <w:r w:rsidR="00E42C9C" w:rsidRPr="00D13B67">
        <w:t xml:space="preserve">between non-disabled and disabled students </w:t>
      </w:r>
      <w:r w:rsidR="00B7361A" w:rsidRPr="00D13B67">
        <w:t>grows</w:t>
      </w:r>
      <w:r w:rsidR="00E42C9C" w:rsidRPr="00D13B67">
        <w:t>.</w:t>
      </w:r>
    </w:p>
    <w:p w14:paraId="508B0870" w14:textId="33E7CE73" w:rsidR="76666FD3" w:rsidRPr="00D13B67" w:rsidRDefault="00BE2EAF" w:rsidP="0080241A">
      <w:pPr>
        <w:pStyle w:val="Body"/>
        <w:rPr>
          <w:rFonts w:eastAsia="Aptos"/>
        </w:rPr>
      </w:pPr>
      <w:r w:rsidRPr="00D13B67">
        <w:rPr>
          <w:rFonts w:eastAsia="Aptos"/>
        </w:rPr>
        <w:t xml:space="preserve">The evidence clearly shows </w:t>
      </w:r>
      <w:r w:rsidR="0070565F" w:rsidRPr="00D13B67">
        <w:rPr>
          <w:rFonts w:eastAsia="Aptos"/>
        </w:rPr>
        <w:t xml:space="preserve">that </w:t>
      </w:r>
      <w:r w:rsidRPr="00D13B67">
        <w:rPr>
          <w:rFonts w:eastAsia="Aptos"/>
        </w:rPr>
        <w:t xml:space="preserve">the number of students documented and self-reported disabilities in post-secondary education is significant. </w:t>
      </w:r>
      <w:r w:rsidR="1C671F7B" w:rsidRPr="00D13B67">
        <w:rPr>
          <w:rFonts w:eastAsia="Aptos"/>
        </w:rPr>
        <w:t xml:space="preserve">Given the number of </w:t>
      </w:r>
      <w:r w:rsidR="1C671F7B" w:rsidRPr="00D13B67">
        <w:rPr>
          <w:rFonts w:eastAsia="Aptos"/>
        </w:rPr>
        <w:lastRenderedPageBreak/>
        <w:t xml:space="preserve">people with disabilities, </w:t>
      </w:r>
      <w:r w:rsidR="00E42C9C" w:rsidRPr="00D13B67">
        <w:rPr>
          <w:rFonts w:eastAsia="Aptos"/>
        </w:rPr>
        <w:t>and in turn disabled students</w:t>
      </w:r>
      <w:r w:rsidR="002D4CE6" w:rsidRPr="00D13B67">
        <w:rPr>
          <w:rFonts w:eastAsia="Aptos"/>
        </w:rPr>
        <w:t xml:space="preserve">, </w:t>
      </w:r>
      <w:r w:rsidR="1C671F7B" w:rsidRPr="00D13B67">
        <w:rPr>
          <w:rFonts w:eastAsia="Aptos"/>
        </w:rPr>
        <w:t>significant work is needed to ensure education is available to all. Employing inclusive design principles and preferring more accessible formats for learning material can be one element of broader strateg</w:t>
      </w:r>
      <w:r w:rsidR="6AA08ABE" w:rsidRPr="00D13B67">
        <w:rPr>
          <w:rFonts w:eastAsia="Aptos"/>
        </w:rPr>
        <w:t>ies</w:t>
      </w:r>
      <w:r w:rsidR="1C671F7B" w:rsidRPr="00D13B67">
        <w:rPr>
          <w:rFonts w:eastAsia="Aptos"/>
        </w:rPr>
        <w:t xml:space="preserve"> to mitigate barriers to education.</w:t>
      </w:r>
    </w:p>
    <w:p w14:paraId="561FA35E" w14:textId="4DD7F74E" w:rsidR="00391805" w:rsidRPr="00D13B67" w:rsidRDefault="5526E2FD" w:rsidP="0080241A">
      <w:pPr>
        <w:pStyle w:val="Body"/>
        <w:rPr>
          <w:rFonts w:eastAsia="Aptos"/>
        </w:rPr>
      </w:pPr>
      <w:r w:rsidRPr="00D13B67">
        <w:rPr>
          <w:rFonts w:eastAsia="Aptos"/>
        </w:rPr>
        <w:t>Accommodating students with disabilities is the current best practice to ‘deal’ with these rising numbers.</w:t>
      </w:r>
      <w:r w:rsidR="3EE3672B" w:rsidRPr="00D13B67">
        <w:rPr>
          <w:rFonts w:eastAsia="Aptos"/>
        </w:rPr>
        <w:t xml:space="preserve"> Students with disabilities are required to navigate a complex bureaucracy of medical documentation, forms, assessments, and consultations to </w:t>
      </w:r>
      <w:r w:rsidR="00032F65" w:rsidRPr="00D13B67">
        <w:rPr>
          <w:rFonts w:eastAsia="Aptos"/>
        </w:rPr>
        <w:t>be entitled to, for example, additional</w:t>
      </w:r>
      <w:r w:rsidR="5911CA50" w:rsidRPr="00D13B67">
        <w:rPr>
          <w:rFonts w:eastAsia="Aptos"/>
        </w:rPr>
        <w:t xml:space="preserve"> time for regurgitation of rote memorization</w:t>
      </w:r>
      <w:r w:rsidR="3BADFB14" w:rsidRPr="00D13B67">
        <w:rPr>
          <w:rFonts w:eastAsia="Aptos"/>
        </w:rPr>
        <w:t>, the ‘right’ to record a lecture</w:t>
      </w:r>
      <w:r w:rsidR="00295246" w:rsidRPr="00D13B67">
        <w:rPr>
          <w:rFonts w:eastAsia="Aptos"/>
        </w:rPr>
        <w:t xml:space="preserve"> (even in one party consent jurisdictions)</w:t>
      </w:r>
      <w:r w:rsidR="002D4CE6" w:rsidRPr="00D13B67">
        <w:rPr>
          <w:rFonts w:eastAsia="Aptos"/>
        </w:rPr>
        <w:t xml:space="preserve">, or </w:t>
      </w:r>
      <w:r w:rsidR="006B3CD7" w:rsidRPr="00D13B67">
        <w:rPr>
          <w:rFonts w:eastAsia="Aptos"/>
        </w:rPr>
        <w:t xml:space="preserve">access to </w:t>
      </w:r>
      <w:r w:rsidR="002D4CE6" w:rsidRPr="00D13B67">
        <w:rPr>
          <w:rFonts w:eastAsia="Aptos"/>
        </w:rPr>
        <w:t xml:space="preserve">readings in formats that work with their assistive technology. </w:t>
      </w:r>
      <w:r w:rsidR="009C5B44" w:rsidRPr="00D13B67">
        <w:rPr>
          <w:rFonts w:eastAsia="Aptos"/>
        </w:rPr>
        <w:t>T</w:t>
      </w:r>
      <w:r w:rsidR="002D4CE6" w:rsidRPr="00D13B67">
        <w:rPr>
          <w:rFonts w:eastAsia="Aptos"/>
        </w:rPr>
        <w:t xml:space="preserve">he formal academic accommodation system is not an attempt to include, but to </w:t>
      </w:r>
      <w:r w:rsidR="00295246" w:rsidRPr="00D13B67">
        <w:rPr>
          <w:rFonts w:eastAsia="Aptos"/>
        </w:rPr>
        <w:t>temporarily</w:t>
      </w:r>
      <w:r w:rsidR="00F772BE" w:rsidRPr="00D13B67">
        <w:rPr>
          <w:rFonts w:eastAsia="Aptos"/>
        </w:rPr>
        <w:t xml:space="preserve"> </w:t>
      </w:r>
      <w:r w:rsidR="00FD6940" w:rsidRPr="00D13B67">
        <w:rPr>
          <w:rFonts w:eastAsia="Aptos"/>
        </w:rPr>
        <w:t>endure</w:t>
      </w:r>
      <w:r w:rsidR="00F772BE" w:rsidRPr="00D13B67">
        <w:rPr>
          <w:rFonts w:eastAsia="Aptos"/>
        </w:rPr>
        <w:t xml:space="preserve"> disabled </w:t>
      </w:r>
      <w:r w:rsidR="00E67044" w:rsidRPr="00D13B67">
        <w:rPr>
          <w:rFonts w:eastAsia="Aptos"/>
        </w:rPr>
        <w:t>students’</w:t>
      </w:r>
      <w:r w:rsidR="00F772BE" w:rsidRPr="00D13B67">
        <w:rPr>
          <w:rFonts w:eastAsia="Aptos"/>
        </w:rPr>
        <w:t xml:space="preserve"> existence</w:t>
      </w:r>
      <w:r w:rsidR="006B3CD7" w:rsidRPr="00D13B67">
        <w:rPr>
          <w:rFonts w:eastAsia="Aptos"/>
        </w:rPr>
        <w:t xml:space="preserve">. Accommodations do little to change </w:t>
      </w:r>
      <w:r w:rsidR="002D4CE6" w:rsidRPr="00D13B67">
        <w:rPr>
          <w:rFonts w:eastAsia="Aptos"/>
        </w:rPr>
        <w:t>the existing system</w:t>
      </w:r>
      <w:r w:rsidR="00F772BE" w:rsidRPr="00D13B67">
        <w:rPr>
          <w:rFonts w:eastAsia="Aptos"/>
        </w:rPr>
        <w:t xml:space="preserve"> but rather </w:t>
      </w:r>
      <w:r w:rsidR="002D4CE6" w:rsidRPr="00D13B67">
        <w:rPr>
          <w:rFonts w:eastAsia="Aptos"/>
        </w:rPr>
        <w:t>create separate lanes for those that don’t fit.</w:t>
      </w:r>
      <w:r w:rsidR="3E8BDD74" w:rsidRPr="00D13B67">
        <w:rPr>
          <w:rFonts w:eastAsia="Aptos"/>
        </w:rPr>
        <w:t xml:space="preserve"> As Jay Timothy Dolmage notes in </w:t>
      </w:r>
      <w:r w:rsidR="3E8BDD74" w:rsidRPr="00D13B67">
        <w:rPr>
          <w:rFonts w:eastAsia="Aptos"/>
          <w:i/>
          <w:iCs/>
        </w:rPr>
        <w:t xml:space="preserve">Academic </w:t>
      </w:r>
      <w:r w:rsidR="467FB891" w:rsidRPr="00D13B67">
        <w:rPr>
          <w:rFonts w:eastAsia="Aptos"/>
          <w:i/>
          <w:iCs/>
        </w:rPr>
        <w:t>Ableism, “</w:t>
      </w:r>
      <w:r w:rsidR="1FDA3B4B" w:rsidRPr="00D13B67">
        <w:rPr>
          <w:rFonts w:eastAsia="Aptos"/>
        </w:rPr>
        <w:t>t</w:t>
      </w:r>
      <w:r w:rsidR="67FC5F00" w:rsidRPr="00D13B67">
        <w:rPr>
          <w:rFonts w:eastAsia="Aptos"/>
        </w:rPr>
        <w:t>he demand is that that one body be adapted to a curriculum</w:t>
      </w:r>
      <w:r w:rsidR="75428A09" w:rsidRPr="00D13B67">
        <w:rPr>
          <w:rFonts w:eastAsia="Aptos"/>
        </w:rPr>
        <w:t xml:space="preserve"> . . .</w:t>
      </w:r>
      <w:r w:rsidR="67FC5F00" w:rsidRPr="00D13B67">
        <w:rPr>
          <w:rFonts w:eastAsia="Aptos"/>
        </w:rPr>
        <w:t xml:space="preserve"> that is otherwise unwelcoming, inaccessible, inhospitable to that body and mind” (2017, p. 72)</w:t>
      </w:r>
      <w:r w:rsidR="3C993DB4" w:rsidRPr="00D13B67">
        <w:rPr>
          <w:rFonts w:eastAsia="Aptos"/>
        </w:rPr>
        <w:t>.</w:t>
      </w:r>
      <w:r w:rsidR="00391805" w:rsidRPr="00D13B67">
        <w:rPr>
          <w:rFonts w:eastAsia="Aptos"/>
        </w:rPr>
        <w:t xml:space="preserve"> Given these attitudes</w:t>
      </w:r>
      <w:r w:rsidR="00067D73" w:rsidRPr="00D13B67">
        <w:rPr>
          <w:rFonts w:eastAsia="Aptos"/>
        </w:rPr>
        <w:t>,</w:t>
      </w:r>
      <w:r w:rsidR="00391805" w:rsidRPr="00D13B67">
        <w:rPr>
          <w:rFonts w:eastAsia="Aptos"/>
        </w:rPr>
        <w:t xml:space="preserve"> it is not surprising to find a 2011 study that found disabled students “perceive their disability to have a negative impact on their ability to succeed” (</w:t>
      </w:r>
      <w:r w:rsidR="00F260D1" w:rsidRPr="00D13B67">
        <w:rPr>
          <w:rFonts w:eastAsia="Aptos"/>
        </w:rPr>
        <w:t xml:space="preserve">Roberts et al., 2011, p. 242). </w:t>
      </w:r>
      <w:r w:rsidR="00E25845" w:rsidRPr="00D13B67">
        <w:rPr>
          <w:rFonts w:eastAsia="Aptos"/>
        </w:rPr>
        <w:t xml:space="preserve">This should not </w:t>
      </w:r>
      <w:r w:rsidR="00B54374" w:rsidRPr="00D13B67">
        <w:rPr>
          <w:rFonts w:eastAsia="Aptos"/>
        </w:rPr>
        <w:t xml:space="preserve">be </w:t>
      </w:r>
      <w:r w:rsidR="00E25845" w:rsidRPr="00D13B67">
        <w:rPr>
          <w:rFonts w:eastAsia="Aptos"/>
        </w:rPr>
        <w:t xml:space="preserve">the case, particularly </w:t>
      </w:r>
      <w:r w:rsidR="00B54374" w:rsidRPr="00D13B67">
        <w:rPr>
          <w:rFonts w:eastAsia="Aptos"/>
        </w:rPr>
        <w:t xml:space="preserve">as post-secondary institutions self-proclaim themselves as inclusive and </w:t>
      </w:r>
      <w:r w:rsidR="00067D73" w:rsidRPr="00D13B67">
        <w:rPr>
          <w:rFonts w:eastAsia="Aptos"/>
        </w:rPr>
        <w:t>forward-thinking environments</w:t>
      </w:r>
      <w:r w:rsidR="00984555" w:rsidRPr="00D13B67">
        <w:rPr>
          <w:rFonts w:eastAsia="Aptos"/>
        </w:rPr>
        <w:t>. Understanding</w:t>
      </w:r>
      <w:r w:rsidR="00315D0A" w:rsidRPr="00D13B67">
        <w:rPr>
          <w:rFonts w:eastAsia="Aptos"/>
        </w:rPr>
        <w:t xml:space="preserve"> accommodations and academic ableism are</w:t>
      </w:r>
      <w:r w:rsidR="000C531E" w:rsidRPr="00D13B67">
        <w:rPr>
          <w:rFonts w:eastAsia="Aptos"/>
        </w:rPr>
        <w:t xml:space="preserve"> significant task</w:t>
      </w:r>
      <w:r w:rsidR="00315D0A" w:rsidRPr="00D13B67">
        <w:rPr>
          <w:rFonts w:eastAsia="Aptos"/>
        </w:rPr>
        <w:t>s</w:t>
      </w:r>
      <w:r w:rsidR="00C62DCE" w:rsidRPr="00D13B67">
        <w:rPr>
          <w:rFonts w:eastAsia="Aptos"/>
        </w:rPr>
        <w:t xml:space="preserve">; creating and choosing more </w:t>
      </w:r>
      <w:r w:rsidR="00C32FD6" w:rsidRPr="00D13B67">
        <w:rPr>
          <w:rFonts w:eastAsia="Aptos"/>
        </w:rPr>
        <w:t>accessible</w:t>
      </w:r>
      <w:r w:rsidR="007C3085" w:rsidRPr="00D13B67">
        <w:rPr>
          <w:rFonts w:eastAsia="Aptos"/>
        </w:rPr>
        <w:t xml:space="preserve">, </w:t>
      </w:r>
      <w:r w:rsidR="00C62DCE" w:rsidRPr="00D13B67">
        <w:rPr>
          <w:rFonts w:eastAsia="Aptos"/>
        </w:rPr>
        <w:t>digital learning materials is a low-effort</w:t>
      </w:r>
      <w:r w:rsidR="007C3085" w:rsidRPr="00D13B67">
        <w:rPr>
          <w:rFonts w:eastAsia="Aptos"/>
        </w:rPr>
        <w:t>, high-return strategy to improve access</w:t>
      </w:r>
      <w:r w:rsidR="00D050C7" w:rsidRPr="00D13B67">
        <w:rPr>
          <w:rFonts w:eastAsia="Aptos"/>
        </w:rPr>
        <w:t xml:space="preserve"> for disabled students.</w:t>
      </w:r>
    </w:p>
    <w:p w14:paraId="6748234C" w14:textId="0A4EF62F" w:rsidR="3223E229" w:rsidRPr="00D13B67" w:rsidRDefault="0086121E" w:rsidP="01E48AAC">
      <w:pPr>
        <w:pStyle w:val="Heading4"/>
      </w:pPr>
      <w:bookmarkStart w:id="17" w:name="_Toc228867972"/>
      <w:r w:rsidRPr="00D13B67">
        <w:lastRenderedPageBreak/>
        <w:t>2.</w:t>
      </w:r>
      <w:r w:rsidR="3223E229" w:rsidRPr="00D13B67">
        <w:t xml:space="preserve">1.3 </w:t>
      </w:r>
      <w:r w:rsidR="4A5E23C8" w:rsidRPr="00D13B67">
        <w:t>Academic Accom</w:t>
      </w:r>
      <w:r w:rsidR="0823B130" w:rsidRPr="00D13B67">
        <w:t>m</w:t>
      </w:r>
      <w:r w:rsidR="4A5E23C8" w:rsidRPr="00D13B67">
        <w:t>odations</w:t>
      </w:r>
      <w:bookmarkEnd w:id="17"/>
    </w:p>
    <w:p w14:paraId="0AD45292" w14:textId="0BFE0AC9" w:rsidR="00292916" w:rsidRPr="00D13B67" w:rsidRDefault="009A218F" w:rsidP="00292916">
      <w:pPr>
        <w:pStyle w:val="Body"/>
      </w:pPr>
      <w:r w:rsidRPr="00D13B67">
        <w:t xml:space="preserve">While the focus of this </w:t>
      </w:r>
      <w:r w:rsidR="00A94DBA" w:rsidRPr="00D13B67">
        <w:t>project</w:t>
      </w:r>
      <w:r w:rsidR="0066275D" w:rsidRPr="00D13B67">
        <w:t xml:space="preserve"> is digital learning material, academic accommodations are often required for </w:t>
      </w:r>
      <w:r w:rsidR="00FD6940" w:rsidRPr="00D13B67">
        <w:t xml:space="preserve">disabled </w:t>
      </w:r>
      <w:r w:rsidR="0066275D" w:rsidRPr="00D13B67">
        <w:t>students to be allowed access to digital learning material</w:t>
      </w:r>
      <w:r w:rsidR="00E8191B" w:rsidRPr="00D13B67">
        <w:t xml:space="preserve">. Academic accommodations </w:t>
      </w:r>
      <w:r w:rsidR="00F15139" w:rsidRPr="00D13B67">
        <w:t xml:space="preserve">may cause significant delays to access; create a </w:t>
      </w:r>
      <w:r w:rsidR="002164A7" w:rsidRPr="00D13B67">
        <w:t>spectrum</w:t>
      </w:r>
      <w:r w:rsidR="00F15139" w:rsidRPr="00D13B67">
        <w:t xml:space="preserve"> of responses from administrators, faculty, and students; </w:t>
      </w:r>
      <w:r w:rsidR="00C14D35" w:rsidRPr="00D13B67">
        <w:t xml:space="preserve">and require excess work that would be </w:t>
      </w:r>
      <w:r w:rsidR="00BB46CE" w:rsidRPr="00D13B67">
        <w:t>less frequently needed</w:t>
      </w:r>
      <w:r w:rsidR="00C14D35" w:rsidRPr="00D13B67">
        <w:t xml:space="preserve"> if digital learning materials were accessible by design.</w:t>
      </w:r>
      <w:r w:rsidRPr="00D13B67">
        <w:t xml:space="preserve"> </w:t>
      </w:r>
    </w:p>
    <w:p w14:paraId="209254A2" w14:textId="60250423" w:rsidR="005D2BB7" w:rsidRPr="00D13B67" w:rsidRDefault="002D4CE6" w:rsidP="00BF6B93">
      <w:pPr>
        <w:pStyle w:val="Body"/>
      </w:pPr>
      <w:r w:rsidRPr="00D13B67">
        <w:t>Accommodations are adjustments</w:t>
      </w:r>
      <w:r w:rsidR="00B55D59" w:rsidRPr="00D13B67">
        <w:t xml:space="preserve"> (</w:t>
      </w:r>
      <w:r w:rsidRPr="00D13B67">
        <w:t>such as extra time, use of technology, or lecture recordings</w:t>
      </w:r>
      <w:r w:rsidR="00B55D59" w:rsidRPr="00D13B67">
        <w:t>)</w:t>
      </w:r>
      <w:r w:rsidRPr="00D13B67">
        <w:t xml:space="preserve"> provided to students with disabilities. Accommodations are</w:t>
      </w:r>
      <w:r w:rsidR="001371C2" w:rsidRPr="00D13B67">
        <w:t xml:space="preserve"> often</w:t>
      </w:r>
      <w:r w:rsidRPr="00D13B67">
        <w:t xml:space="preserve"> temporary changes to curriculum and procedure allowed to meet legal standards</w:t>
      </w:r>
      <w:r w:rsidR="00B13FD3" w:rsidRPr="00D13B67">
        <w:t>. As such, accommodations</w:t>
      </w:r>
      <w:r w:rsidRPr="00D13B67">
        <w:t xml:space="preserve"> do little to make positive, lasting changes to the institutional practices that forced the need for accommodation (Dolmage, 2017). At most post-secondary institutions, students are required to submit specific medical documentation of their disabilities </w:t>
      </w:r>
      <w:r w:rsidR="00970B1D" w:rsidRPr="00D13B67">
        <w:t>to</w:t>
      </w:r>
      <w:r w:rsidRPr="00D13B67">
        <w:t xml:space="preserve"> be considered for accommodations (</w:t>
      </w:r>
      <w:proofErr w:type="spellStart"/>
      <w:r w:rsidRPr="00D13B67">
        <w:t>Alyass</w:t>
      </w:r>
      <w:proofErr w:type="spellEnd"/>
      <w:r w:rsidRPr="00D13B67">
        <w:t xml:space="preserve">, 2024). </w:t>
      </w:r>
      <w:r w:rsidR="00C14044" w:rsidRPr="00D13B67">
        <w:t xml:space="preserve">In Canada, </w:t>
      </w:r>
      <w:r w:rsidR="007165BC" w:rsidRPr="00D13B67">
        <w:t xml:space="preserve">the extent and range of </w:t>
      </w:r>
      <w:r w:rsidR="00C14044" w:rsidRPr="00D13B67">
        <w:t>academic accommodations are decided by legal considerations</w:t>
      </w:r>
      <w:r w:rsidR="000E2DAE" w:rsidRPr="00D13B67">
        <w:t xml:space="preserve"> which, as critics argue, </w:t>
      </w:r>
      <w:r w:rsidR="00AC1439" w:rsidRPr="00D13B67">
        <w:t>are</w:t>
      </w:r>
      <w:r w:rsidR="000E2DAE" w:rsidRPr="00D13B67">
        <w:t xml:space="preserve"> a careful bureaucratic calculation of what </w:t>
      </w:r>
      <w:r w:rsidR="00C05AC1" w:rsidRPr="00D13B67">
        <w:t>an institution can get away with not provid</w:t>
      </w:r>
      <w:r w:rsidR="00FF2914" w:rsidRPr="00D13B67">
        <w:t>ing</w:t>
      </w:r>
      <w:r w:rsidR="00C05AC1" w:rsidRPr="00D13B67">
        <w:t xml:space="preserve"> under definitions of </w:t>
      </w:r>
      <w:r w:rsidR="00BE78FD" w:rsidRPr="00D13B67">
        <w:t>‘</w:t>
      </w:r>
      <w:r w:rsidR="00A07798" w:rsidRPr="00D13B67">
        <w:t>undue</w:t>
      </w:r>
      <w:r w:rsidR="00C05AC1" w:rsidRPr="00D13B67">
        <w:t xml:space="preserve"> hardship</w:t>
      </w:r>
      <w:r w:rsidR="00BE78FD" w:rsidRPr="00D13B67">
        <w:t>’</w:t>
      </w:r>
      <w:r w:rsidR="00C05AC1" w:rsidRPr="00D13B67">
        <w:t xml:space="preserve"> or </w:t>
      </w:r>
      <w:r w:rsidR="00BE78FD" w:rsidRPr="00D13B67">
        <w:t>‘</w:t>
      </w:r>
      <w:r w:rsidR="00A07798" w:rsidRPr="00D13B67">
        <w:t>unreasonable</w:t>
      </w:r>
      <w:r w:rsidR="00C05AC1" w:rsidRPr="00D13B67">
        <w:t xml:space="preserve"> burden</w:t>
      </w:r>
      <w:r w:rsidR="00BE78FD" w:rsidRPr="00D13B67">
        <w:t>’</w:t>
      </w:r>
      <w:r w:rsidR="00C14044" w:rsidRPr="00D13B67">
        <w:t xml:space="preserve"> </w:t>
      </w:r>
      <w:r w:rsidR="00BE78FD" w:rsidRPr="00D13B67">
        <w:t xml:space="preserve">on the providing institution </w:t>
      </w:r>
      <w:r w:rsidR="00C14044" w:rsidRPr="00D13B67">
        <w:t>(</w:t>
      </w:r>
      <w:proofErr w:type="spellStart"/>
      <w:r w:rsidR="00C05AC1" w:rsidRPr="00D13B67">
        <w:t>Titchkosky</w:t>
      </w:r>
      <w:proofErr w:type="spellEnd"/>
      <w:r w:rsidR="00C05AC1" w:rsidRPr="00D13B67">
        <w:t xml:space="preserve">, 2011; </w:t>
      </w:r>
      <w:r w:rsidR="00C14044" w:rsidRPr="00D13B67">
        <w:t>Dolmage, 2017</w:t>
      </w:r>
      <w:r w:rsidR="00C05AC1" w:rsidRPr="00D13B67">
        <w:t xml:space="preserve">; </w:t>
      </w:r>
      <w:proofErr w:type="spellStart"/>
      <w:r w:rsidR="00C05AC1" w:rsidRPr="00D13B67">
        <w:t>Alyass</w:t>
      </w:r>
      <w:proofErr w:type="spellEnd"/>
      <w:r w:rsidR="00C05AC1" w:rsidRPr="00D13B67">
        <w:t xml:space="preserve">, 2024). </w:t>
      </w:r>
      <w:r w:rsidR="00FF2914" w:rsidRPr="00D13B67">
        <w:t>Undue hardship is calcul</w:t>
      </w:r>
      <w:r w:rsidR="00BF6B93" w:rsidRPr="00D13B67">
        <w:t xml:space="preserve">ated by cost (space, staff, </w:t>
      </w:r>
      <w:r w:rsidR="00C809CC" w:rsidRPr="00D13B67">
        <w:t>and</w:t>
      </w:r>
      <w:r w:rsidR="00BF6B93" w:rsidRPr="00D13B67">
        <w:t xml:space="preserve"> expenses), the student’s access to outside funding, and health and safety requirements (</w:t>
      </w:r>
      <w:proofErr w:type="spellStart"/>
      <w:r w:rsidR="00C2064D" w:rsidRPr="00D13B67">
        <w:t>Titchkosky</w:t>
      </w:r>
      <w:proofErr w:type="spellEnd"/>
      <w:r w:rsidR="00C2064D" w:rsidRPr="00D13B67">
        <w:t xml:space="preserve">, 2011; </w:t>
      </w:r>
      <w:proofErr w:type="spellStart"/>
      <w:r w:rsidR="00BF6B93" w:rsidRPr="00D13B67">
        <w:t>Alyass</w:t>
      </w:r>
      <w:proofErr w:type="spellEnd"/>
      <w:r w:rsidR="00BF6B93" w:rsidRPr="00D13B67">
        <w:t xml:space="preserve">, 2024). This defense has been used by institutions to claim that </w:t>
      </w:r>
      <w:r w:rsidR="00C809CC" w:rsidRPr="00D13B67">
        <w:t>allowing</w:t>
      </w:r>
      <w:r w:rsidR="00BF6B93" w:rsidRPr="00D13B67">
        <w:t xml:space="preserve"> disabled </w:t>
      </w:r>
      <w:r w:rsidR="00D160F3" w:rsidRPr="00D13B67">
        <w:t>students</w:t>
      </w:r>
      <w:r w:rsidR="00BF6B93" w:rsidRPr="00D13B67">
        <w:t xml:space="preserve"> </w:t>
      </w:r>
      <w:r w:rsidR="00C809CC" w:rsidRPr="00D13B67">
        <w:t>to participate</w:t>
      </w:r>
      <w:r w:rsidR="00D160F3" w:rsidRPr="00D13B67">
        <w:t xml:space="preserve"> </w:t>
      </w:r>
      <w:r w:rsidR="00BF6B93" w:rsidRPr="00D13B67">
        <w:t xml:space="preserve">would be </w:t>
      </w:r>
      <w:r w:rsidR="00BF6B93" w:rsidRPr="00D13B67">
        <w:lastRenderedPageBreak/>
        <w:t xml:space="preserve">too expensive. The existence of disabled students is, some </w:t>
      </w:r>
      <w:r w:rsidR="000A1A7F" w:rsidRPr="00D13B67">
        <w:t xml:space="preserve">egregiously </w:t>
      </w:r>
      <w:r w:rsidR="00BF6B93" w:rsidRPr="00D13B67">
        <w:t>argue, an unreasonable burden.</w:t>
      </w:r>
    </w:p>
    <w:p w14:paraId="11A45939" w14:textId="2008F294" w:rsidR="005479F8" w:rsidRPr="00D13B67" w:rsidRDefault="00900686" w:rsidP="0080241A">
      <w:pPr>
        <w:pStyle w:val="Body"/>
        <w:rPr>
          <w:rFonts w:ascii="Aptos" w:eastAsia="Aptos" w:hAnsi="Aptos" w:cs="Aptos"/>
        </w:rPr>
      </w:pPr>
      <w:r w:rsidRPr="00D13B67">
        <w:t>The concept of accommodation is rooted in a deeply ableist belief that only certain types of assistance are unique and require special treatment. Disability justice scholar Daniel Freeman writes:</w:t>
      </w:r>
    </w:p>
    <w:p w14:paraId="6E54EC95" w14:textId="032880CF" w:rsidR="00EA3EAB" w:rsidRPr="00D13B67" w:rsidRDefault="00EA3EAB" w:rsidP="00EA3EAB">
      <w:pPr>
        <w:pStyle w:val="Body"/>
        <w:ind w:left="567" w:firstLine="0"/>
        <w:rPr>
          <w:rFonts w:ascii="Aptos" w:eastAsia="Aptos" w:hAnsi="Aptos" w:cs="Aptos"/>
        </w:rPr>
      </w:pPr>
      <w:r w:rsidRPr="00D13B67">
        <w:rPr>
          <w:rFonts w:ascii="Aptos" w:eastAsia="Aptos" w:hAnsi="Aptos" w:cs="Aptos"/>
        </w:rPr>
        <w:t>A</w:t>
      </w:r>
      <w:r w:rsidR="00900686" w:rsidRPr="00D13B67">
        <w:rPr>
          <w:rFonts w:ascii="Aptos" w:eastAsia="Aptos" w:hAnsi="Aptos" w:cs="Aptos"/>
        </w:rPr>
        <w:t>ble-bodied people all have things that they fall short with, skills or tasks that they will never master. But when disabled folk say, ‘These are the things I need in order to do my very best,’ it is labeled as an ‘accommodation.’ . . . The language itself is ableist in nature, bringing into focus the reality of how disabled bodies are seen as barriers to able-bodied life</w:t>
      </w:r>
      <w:r w:rsidRPr="00D13B67">
        <w:rPr>
          <w:rFonts w:ascii="Aptos" w:eastAsia="Aptos" w:hAnsi="Aptos" w:cs="Aptos"/>
        </w:rPr>
        <w:t>.</w:t>
      </w:r>
      <w:r w:rsidR="00900686" w:rsidRPr="00D13B67">
        <w:rPr>
          <w:rFonts w:ascii="Aptos" w:eastAsia="Aptos" w:hAnsi="Aptos" w:cs="Aptos"/>
        </w:rPr>
        <w:t xml:space="preserve"> (2015) </w:t>
      </w:r>
    </w:p>
    <w:p w14:paraId="391AB063" w14:textId="610A9722" w:rsidR="00900686" w:rsidRPr="00D13B67" w:rsidRDefault="00900686" w:rsidP="00EA3EAB">
      <w:pPr>
        <w:pStyle w:val="Body"/>
        <w:ind w:firstLine="0"/>
      </w:pPr>
      <w:r w:rsidRPr="00D13B67">
        <w:rPr>
          <w:rFonts w:ascii="Aptos" w:eastAsia="Aptos" w:hAnsi="Aptos" w:cs="Aptos"/>
        </w:rPr>
        <w:t>Independence is a myth, but academia has decided certain existences must be accommodated, that the need for certain kinds of help must be proven, documented, and segregated (</w:t>
      </w:r>
      <w:proofErr w:type="spellStart"/>
      <w:r w:rsidRPr="00D13B67">
        <w:rPr>
          <w:rFonts w:ascii="Aptos" w:eastAsia="Aptos" w:hAnsi="Aptos" w:cs="Aptos"/>
        </w:rPr>
        <w:t>Alyass</w:t>
      </w:r>
      <w:proofErr w:type="spellEnd"/>
      <w:r w:rsidRPr="00D13B67">
        <w:rPr>
          <w:rFonts w:ascii="Aptos" w:eastAsia="Aptos" w:hAnsi="Aptos" w:cs="Aptos"/>
        </w:rPr>
        <w:t>, 2024). Accommodations are an indirect acknowledgement “that dominant pedagogies privilege those who can most easily ignore their bodies, and those whose minds work the most like the minds of their teachers” (Dolmage, 2017, p. 80).</w:t>
      </w:r>
    </w:p>
    <w:p w14:paraId="69E76155" w14:textId="3FEF262C" w:rsidR="00EA1A22" w:rsidRPr="00D13B67" w:rsidRDefault="00964078" w:rsidP="0080241A">
      <w:pPr>
        <w:pStyle w:val="Body"/>
        <w:rPr>
          <w:rFonts w:eastAsia="Aptos"/>
        </w:rPr>
      </w:pPr>
      <w:r w:rsidRPr="00D13B67">
        <w:rPr>
          <w:rFonts w:eastAsia="Aptos"/>
        </w:rPr>
        <w:t>T</w:t>
      </w:r>
      <w:r w:rsidR="00DC5845" w:rsidRPr="00D13B67">
        <w:rPr>
          <w:rFonts w:eastAsia="Aptos"/>
        </w:rPr>
        <w:t>he use of assistive technology</w:t>
      </w:r>
      <w:r w:rsidRPr="00D13B67">
        <w:rPr>
          <w:rFonts w:eastAsia="Aptos"/>
        </w:rPr>
        <w:t xml:space="preserve"> is not only a common accommodation, but also closely tied to the consumption of digital learning material</w:t>
      </w:r>
      <w:r w:rsidR="00DC5845" w:rsidRPr="00D13B67">
        <w:rPr>
          <w:rFonts w:eastAsia="Aptos"/>
        </w:rPr>
        <w:t xml:space="preserve">. Assistive </w:t>
      </w:r>
      <w:r w:rsidR="002D4CE6" w:rsidRPr="00D13B67">
        <w:rPr>
          <w:rFonts w:eastAsia="Aptos"/>
        </w:rPr>
        <w:t xml:space="preserve">technology is consistently noted as a beneficial accommodation (Kettler, 2012; Courtad &amp; Bakken, 2020; </w:t>
      </w:r>
      <w:proofErr w:type="spellStart"/>
      <w:r w:rsidR="002D4CE6" w:rsidRPr="00D13B67">
        <w:rPr>
          <w:rFonts w:eastAsia="Aptos"/>
        </w:rPr>
        <w:t>Fichten</w:t>
      </w:r>
      <w:proofErr w:type="spellEnd"/>
      <w:r w:rsidR="002D4CE6" w:rsidRPr="00D13B67">
        <w:rPr>
          <w:rFonts w:eastAsia="Aptos"/>
        </w:rPr>
        <w:t xml:space="preserve"> et al., 2022</w:t>
      </w:r>
      <w:r w:rsidR="00D850A2" w:rsidRPr="00D13B67">
        <w:rPr>
          <w:rFonts w:eastAsia="Aptos"/>
        </w:rPr>
        <w:t>; Walz, 2024</w:t>
      </w:r>
      <w:r w:rsidR="002D4CE6" w:rsidRPr="00D13B67">
        <w:rPr>
          <w:rFonts w:eastAsia="Aptos"/>
        </w:rPr>
        <w:t xml:space="preserve">). Some studies suggest that assistive technology may be difficult to use for some students and unexpected behaviour may create barriers to success (Parsons et al., 2021). </w:t>
      </w:r>
      <w:r w:rsidR="00C809CC" w:rsidRPr="00D13B67">
        <w:rPr>
          <w:rFonts w:eastAsia="Aptos"/>
        </w:rPr>
        <w:t xml:space="preserve">For assistive technology to be of benefit to students, digital learning material must be compatible with common assistive technology. Depending on </w:t>
      </w:r>
      <w:r w:rsidR="00C809CC" w:rsidRPr="00D13B67">
        <w:rPr>
          <w:rFonts w:eastAsia="Aptos"/>
        </w:rPr>
        <w:lastRenderedPageBreak/>
        <w:t xml:space="preserve">the technology and the format of the material, </w:t>
      </w:r>
      <w:r w:rsidR="00305D3E" w:rsidRPr="00D13B67">
        <w:rPr>
          <w:rFonts w:eastAsia="Aptos"/>
        </w:rPr>
        <w:t>a base minimum</w:t>
      </w:r>
      <w:r w:rsidR="00C809CC" w:rsidRPr="00D13B67">
        <w:rPr>
          <w:rFonts w:eastAsia="Aptos"/>
        </w:rPr>
        <w:t xml:space="preserve"> level of accessibility is required. </w:t>
      </w:r>
      <w:r w:rsidR="002D4CE6" w:rsidRPr="00D13B67">
        <w:rPr>
          <w:rFonts w:eastAsia="Aptos"/>
        </w:rPr>
        <w:t xml:space="preserve">Regardless, as </w:t>
      </w:r>
      <w:proofErr w:type="spellStart"/>
      <w:r w:rsidR="002D4CE6" w:rsidRPr="00D13B67">
        <w:rPr>
          <w:rFonts w:eastAsia="Aptos"/>
        </w:rPr>
        <w:t>Fichten</w:t>
      </w:r>
      <w:proofErr w:type="spellEnd"/>
      <w:r w:rsidR="002D4CE6" w:rsidRPr="00D13B67">
        <w:rPr>
          <w:rFonts w:eastAsia="Aptos"/>
        </w:rPr>
        <w:t xml:space="preserve"> et al. report, various studies find that assistive technology accommodations improve performance on assessments as well as benefits students’ reading, writing, note-taking, and studying (2022).</w:t>
      </w:r>
      <w:r w:rsidR="00654FE2" w:rsidRPr="00D13B67">
        <w:rPr>
          <w:rFonts w:eastAsia="Aptos"/>
        </w:rPr>
        <w:t xml:space="preserve"> </w:t>
      </w:r>
      <w:r w:rsidR="004B03E1" w:rsidRPr="00D13B67">
        <w:rPr>
          <w:rFonts w:eastAsia="Aptos"/>
        </w:rPr>
        <w:t xml:space="preserve">Research often defines the effectiveness of </w:t>
      </w:r>
      <w:r w:rsidR="0043595A" w:rsidRPr="00D13B67">
        <w:rPr>
          <w:rFonts w:eastAsia="Aptos"/>
        </w:rPr>
        <w:t xml:space="preserve">assistive technology related </w:t>
      </w:r>
      <w:r w:rsidR="004B03E1" w:rsidRPr="00D13B67">
        <w:rPr>
          <w:rFonts w:eastAsia="Aptos"/>
        </w:rPr>
        <w:t>accommodations as increased test scores for accommodated disabled students (McGregor et al., 2016; Parson</w:t>
      </w:r>
      <w:r w:rsidR="00CB40EA" w:rsidRPr="00D13B67">
        <w:rPr>
          <w:rFonts w:eastAsia="Aptos"/>
        </w:rPr>
        <w:t>s</w:t>
      </w:r>
      <w:r w:rsidR="004B03E1" w:rsidRPr="00D13B67">
        <w:rPr>
          <w:rFonts w:eastAsia="Aptos"/>
        </w:rPr>
        <w:t xml:space="preserve"> et al., 2021; Lin, 2025). </w:t>
      </w:r>
      <w:r w:rsidR="00C809CC" w:rsidRPr="00D13B67">
        <w:rPr>
          <w:rFonts w:eastAsia="Aptos"/>
        </w:rPr>
        <w:t xml:space="preserve">Unfortunately, </w:t>
      </w:r>
      <w:r w:rsidR="00252724" w:rsidRPr="00D13B67">
        <w:rPr>
          <w:rFonts w:eastAsia="Aptos"/>
        </w:rPr>
        <w:t>research on</w:t>
      </w:r>
      <w:r w:rsidR="00D03742" w:rsidRPr="00D13B67">
        <w:rPr>
          <w:rFonts w:eastAsia="Aptos"/>
        </w:rPr>
        <w:t xml:space="preserve"> how assistive technology works for students consuming general digital learning material</w:t>
      </w:r>
      <w:r w:rsidR="00252724" w:rsidRPr="00D13B67">
        <w:rPr>
          <w:rFonts w:eastAsia="Aptos"/>
        </w:rPr>
        <w:t xml:space="preserve"> i</w:t>
      </w:r>
      <w:r w:rsidR="00305D3E" w:rsidRPr="00D13B67">
        <w:rPr>
          <w:rFonts w:eastAsia="Aptos"/>
        </w:rPr>
        <w:t>s</w:t>
      </w:r>
      <w:r w:rsidR="00252724" w:rsidRPr="00D13B67">
        <w:rPr>
          <w:rFonts w:eastAsia="Aptos"/>
        </w:rPr>
        <w:t xml:space="preserve"> scarce</w:t>
      </w:r>
      <w:r w:rsidR="00D03742" w:rsidRPr="00D13B67">
        <w:rPr>
          <w:rFonts w:eastAsia="Aptos"/>
        </w:rPr>
        <w:t xml:space="preserve">. </w:t>
      </w:r>
      <w:r w:rsidR="00253906" w:rsidRPr="00D13B67">
        <w:rPr>
          <w:rFonts w:eastAsia="Aptos"/>
        </w:rPr>
        <w:t>U</w:t>
      </w:r>
      <w:r w:rsidR="00252724" w:rsidRPr="00D13B67">
        <w:rPr>
          <w:rFonts w:eastAsia="Aptos"/>
        </w:rPr>
        <w:t xml:space="preserve">nderstanding how effective accessible digital learning material and </w:t>
      </w:r>
      <w:r w:rsidR="00EA1A22" w:rsidRPr="00D13B67">
        <w:rPr>
          <w:rFonts w:eastAsia="Aptos"/>
        </w:rPr>
        <w:t xml:space="preserve">relevant </w:t>
      </w:r>
      <w:r w:rsidR="00252724" w:rsidRPr="00D13B67">
        <w:rPr>
          <w:rFonts w:eastAsia="Aptos"/>
        </w:rPr>
        <w:t>accommodations are for</w:t>
      </w:r>
      <w:r w:rsidR="00EA1A22" w:rsidRPr="00D13B67">
        <w:rPr>
          <w:rFonts w:eastAsia="Aptos"/>
        </w:rPr>
        <w:t xml:space="preserve"> disabled</w:t>
      </w:r>
      <w:r w:rsidR="00252724" w:rsidRPr="00D13B67">
        <w:rPr>
          <w:rFonts w:eastAsia="Aptos"/>
        </w:rPr>
        <w:t xml:space="preserve"> students </w:t>
      </w:r>
      <w:r w:rsidR="00EA1A22" w:rsidRPr="00D13B67">
        <w:rPr>
          <w:rFonts w:eastAsia="Aptos"/>
        </w:rPr>
        <w:t>requires considering the experience</w:t>
      </w:r>
      <w:r w:rsidR="00305D3E" w:rsidRPr="00D13B67">
        <w:rPr>
          <w:rFonts w:eastAsia="Aptos"/>
        </w:rPr>
        <w:t xml:space="preserve"> of disabled students.</w:t>
      </w:r>
    </w:p>
    <w:p w14:paraId="0AA4B7B4" w14:textId="04840552" w:rsidR="00362785" w:rsidRPr="00D13B67" w:rsidRDefault="00362785" w:rsidP="00362785">
      <w:pPr>
        <w:pStyle w:val="Heading5"/>
      </w:pPr>
      <w:r w:rsidRPr="00D13B67">
        <w:t xml:space="preserve">Perceptions of </w:t>
      </w:r>
      <w:r w:rsidR="00217CE0" w:rsidRPr="00D13B67">
        <w:t xml:space="preserve">Academic </w:t>
      </w:r>
      <w:r w:rsidRPr="00D13B67">
        <w:t>Accommodations</w:t>
      </w:r>
    </w:p>
    <w:p w14:paraId="38FCF368" w14:textId="49D4BB34" w:rsidR="00183D4B" w:rsidRPr="00D13B67" w:rsidRDefault="006F3C9B" w:rsidP="00183D4B">
      <w:pPr>
        <w:pStyle w:val="Body"/>
        <w:rPr>
          <w:rFonts w:eastAsia="Aptos"/>
        </w:rPr>
      </w:pPr>
      <w:r w:rsidRPr="00D13B67">
        <w:t xml:space="preserve">The perception of disability and accommodation </w:t>
      </w:r>
      <w:r w:rsidR="00EF6106" w:rsidRPr="00D13B67">
        <w:t xml:space="preserve">in post-secondary education </w:t>
      </w:r>
      <w:r w:rsidR="007D42F0" w:rsidRPr="00D13B67">
        <w:t xml:space="preserve">studied significantly. </w:t>
      </w:r>
      <w:r w:rsidR="00B25589" w:rsidRPr="00D13B67">
        <w:rPr>
          <w:rFonts w:eastAsia="Aptos"/>
        </w:rPr>
        <w:t>Lyman et al. (2016) note that while accommodations contribute to higher graduation rates for students with disabilities, there are numerous potential downsides to accommodations including ineffective application</w:t>
      </w:r>
      <w:r w:rsidR="00CE4624" w:rsidRPr="00D13B67">
        <w:rPr>
          <w:rFonts w:eastAsia="Aptos"/>
        </w:rPr>
        <w:t>, irrelevancy</w:t>
      </w:r>
      <w:r w:rsidR="00B25589" w:rsidRPr="00D13B67">
        <w:rPr>
          <w:rFonts w:eastAsia="Aptos"/>
        </w:rPr>
        <w:t xml:space="preserve">, negative social reactions, fear of future ramifications, and negative experiences with instructors. </w:t>
      </w:r>
      <w:proofErr w:type="spellStart"/>
      <w:r w:rsidR="00310621" w:rsidRPr="00D13B67">
        <w:rPr>
          <w:rFonts w:eastAsia="Aptos"/>
        </w:rPr>
        <w:t>Mamboleo</w:t>
      </w:r>
      <w:proofErr w:type="spellEnd"/>
      <w:r w:rsidR="00310621" w:rsidRPr="00D13B67">
        <w:rPr>
          <w:rFonts w:eastAsia="Aptos"/>
        </w:rPr>
        <w:t xml:space="preserve"> et al. </w:t>
      </w:r>
      <w:r w:rsidR="00685417" w:rsidRPr="00D13B67">
        <w:rPr>
          <w:rFonts w:eastAsia="Aptos"/>
        </w:rPr>
        <w:t xml:space="preserve">(2020) </w:t>
      </w:r>
      <w:r w:rsidR="00310621" w:rsidRPr="00D13B67">
        <w:rPr>
          <w:rFonts w:eastAsia="Aptos"/>
        </w:rPr>
        <w:t>found that instructor care and understanding, support from disability support offices, and student self-advocacy facilitated accommodation use and effectiveness while perception of accommodation as unfair advantage, lack of information about accommodations, student anxiety, and instructor desire to maintain uniformity were listed as challenges to accommodatio</w:t>
      </w:r>
      <w:r w:rsidR="00FC5380" w:rsidRPr="00D13B67">
        <w:rPr>
          <w:rFonts w:eastAsia="Aptos"/>
        </w:rPr>
        <w:t>ns</w:t>
      </w:r>
      <w:r w:rsidR="00310621" w:rsidRPr="00D13B67">
        <w:rPr>
          <w:rFonts w:eastAsia="Aptos"/>
        </w:rPr>
        <w:t xml:space="preserve">. </w:t>
      </w:r>
      <w:r w:rsidR="00362785" w:rsidRPr="00D13B67">
        <w:rPr>
          <w:rFonts w:eastAsia="Aptos"/>
        </w:rPr>
        <w:t xml:space="preserve">A 2019 study found numerous barriers to accommodations, including the lack of student awareness of disability resources, inability </w:t>
      </w:r>
      <w:r w:rsidR="00362785" w:rsidRPr="00D13B67">
        <w:rPr>
          <w:rFonts w:eastAsia="Aptos"/>
        </w:rPr>
        <w:lastRenderedPageBreak/>
        <w:t xml:space="preserve">to provide specific documentation of disability, negative reactions of peers and instructors to accommodation requests, and lack of perceived usefulness of accommodations (Toutain, 2019). </w:t>
      </w:r>
      <w:r w:rsidR="00183D4B" w:rsidRPr="00D13B67">
        <w:rPr>
          <w:rFonts w:eastAsia="Aptos"/>
        </w:rPr>
        <w:t xml:space="preserve">Additionally, accommodations may reduce a student’s sense of autonomy, decrease feelings of self-efficacy, and increase anxiety (Reyes et al., 2022). </w:t>
      </w:r>
      <w:r w:rsidR="00FC5380" w:rsidRPr="00D13B67">
        <w:rPr>
          <w:rFonts w:eastAsia="Aptos"/>
        </w:rPr>
        <w:t>A</w:t>
      </w:r>
      <w:r w:rsidR="00183D4B" w:rsidRPr="00D13B67">
        <w:rPr>
          <w:rFonts w:eastAsia="Aptos"/>
        </w:rPr>
        <w:t xml:space="preserve">ccommodations may create as many problems as they intend to solve, particularly as disclosure can upset the budding relationship between student and instructor. For a marginalized student disclosing personal information that may be perceived as a weakness, flaw, or request for </w:t>
      </w:r>
      <w:r w:rsidR="00FC5380" w:rsidRPr="00D13B67">
        <w:rPr>
          <w:rFonts w:eastAsia="Aptos"/>
        </w:rPr>
        <w:t>‘</w:t>
      </w:r>
      <w:r w:rsidR="00183D4B" w:rsidRPr="00D13B67">
        <w:rPr>
          <w:rFonts w:eastAsia="Aptos"/>
        </w:rPr>
        <w:t>special treatment</w:t>
      </w:r>
      <w:r w:rsidR="00FC5380" w:rsidRPr="00D13B67">
        <w:rPr>
          <w:rFonts w:eastAsia="Aptos"/>
        </w:rPr>
        <w:t>’</w:t>
      </w:r>
      <w:r w:rsidR="00183D4B" w:rsidRPr="00D13B67">
        <w:rPr>
          <w:rFonts w:eastAsia="Aptos"/>
        </w:rPr>
        <w:t xml:space="preserve"> to the “most powerful actor in [their] academic environment” may cause scores of unintended negative consequences (Trammell, 2009, p. 26). </w:t>
      </w:r>
      <w:r w:rsidR="00D86E63" w:rsidRPr="00D13B67">
        <w:rPr>
          <w:rFonts w:eastAsia="Aptos"/>
        </w:rPr>
        <w:t xml:space="preserve">Significant research </w:t>
      </w:r>
      <w:r w:rsidR="00A53F52" w:rsidRPr="00D13B67">
        <w:rPr>
          <w:rFonts w:eastAsia="Aptos"/>
        </w:rPr>
        <w:t>suggests</w:t>
      </w:r>
      <w:r w:rsidR="00D86E63" w:rsidRPr="00D13B67">
        <w:rPr>
          <w:rFonts w:eastAsia="Aptos"/>
        </w:rPr>
        <w:t xml:space="preserve"> this fear is not unfounded.</w:t>
      </w:r>
    </w:p>
    <w:p w14:paraId="66B31487" w14:textId="07EFC4B7" w:rsidR="002B3172" w:rsidRPr="00D13B67" w:rsidRDefault="009A4A90" w:rsidP="00BB0E67">
      <w:pPr>
        <w:pStyle w:val="Body"/>
      </w:pPr>
      <w:r w:rsidRPr="00D13B67">
        <w:t xml:space="preserve">A </w:t>
      </w:r>
      <w:r w:rsidR="00C56C24" w:rsidRPr="00D13B67">
        <w:t>powerful</w:t>
      </w:r>
      <w:r w:rsidR="00E06C98" w:rsidRPr="00D13B67">
        <w:t xml:space="preserve"> factor</w:t>
      </w:r>
      <w:r w:rsidRPr="00D13B67">
        <w:t xml:space="preserve"> </w:t>
      </w:r>
      <w:r w:rsidR="00E06C98" w:rsidRPr="00D13B67">
        <w:t xml:space="preserve">impacting the usage of accommodations </w:t>
      </w:r>
      <w:r w:rsidR="00D86E63" w:rsidRPr="00D13B67">
        <w:t xml:space="preserve">are </w:t>
      </w:r>
      <w:r w:rsidR="00C56C24" w:rsidRPr="00D13B67">
        <w:t xml:space="preserve">bias and the </w:t>
      </w:r>
      <w:r w:rsidR="00E06C98" w:rsidRPr="00D13B67">
        <w:t xml:space="preserve">perceptions of bias </w:t>
      </w:r>
      <w:r w:rsidR="00C56C24" w:rsidRPr="00D13B67">
        <w:t>from</w:t>
      </w:r>
      <w:r w:rsidR="00E06C98" w:rsidRPr="00D13B67">
        <w:t xml:space="preserve"> peers and instructors (McGregor et al., 2016; </w:t>
      </w:r>
      <w:proofErr w:type="spellStart"/>
      <w:r w:rsidR="00E06C98" w:rsidRPr="00D13B67">
        <w:rPr>
          <w:rFonts w:ascii="Aptos" w:eastAsia="Aptos" w:hAnsi="Aptos" w:cs="Aptos"/>
        </w:rPr>
        <w:t>Mamboleo</w:t>
      </w:r>
      <w:proofErr w:type="spellEnd"/>
      <w:r w:rsidR="00E06C98" w:rsidRPr="00D13B67">
        <w:rPr>
          <w:rFonts w:ascii="Aptos" w:eastAsia="Aptos" w:hAnsi="Aptos" w:cs="Aptos"/>
        </w:rPr>
        <w:t xml:space="preserve"> et al., 2020; </w:t>
      </w:r>
      <w:r w:rsidR="00E06C98" w:rsidRPr="00D13B67">
        <w:t>Edwards et al., 2022).</w:t>
      </w:r>
      <w:r w:rsidR="00F32373" w:rsidRPr="00D13B67">
        <w:rPr>
          <w:rFonts w:ascii="Aptos" w:eastAsia="Aptos" w:hAnsi="Aptos" w:cs="Aptos"/>
        </w:rPr>
        <w:t xml:space="preserve"> A 2016 study found that only a minority of disabled students had accommodations, but those who did reported increased contact with faculty and decreased difficulty with assignments (McGregor et al., 2016). This suggests positive perceptions and engagement. </w:t>
      </w:r>
      <w:r w:rsidR="00EA0444" w:rsidRPr="00D13B67">
        <w:t xml:space="preserve">However, the difference between students reporting disability and using support services or </w:t>
      </w:r>
      <w:r w:rsidR="00C56C24" w:rsidRPr="00D13B67">
        <w:t>receiv</w:t>
      </w:r>
      <w:r w:rsidR="006D3518" w:rsidRPr="00D13B67">
        <w:t>ing</w:t>
      </w:r>
      <w:r w:rsidR="00C56C24" w:rsidRPr="00D13B67">
        <w:t xml:space="preserve"> </w:t>
      </w:r>
      <w:r w:rsidR="00EA0444" w:rsidRPr="00D13B67">
        <w:t>accommodations suggests that s</w:t>
      </w:r>
      <w:r w:rsidR="00E06C98" w:rsidRPr="00D13B67">
        <w:rPr>
          <w:rFonts w:ascii="Aptos" w:eastAsia="Aptos" w:hAnsi="Aptos" w:cs="Aptos"/>
        </w:rPr>
        <w:t>ome students are reluctant to seek out and use academic accommodations for fear of being negatively perceived</w:t>
      </w:r>
      <w:r w:rsidR="00F84151" w:rsidRPr="00D13B67">
        <w:rPr>
          <w:rFonts w:ascii="Aptos" w:eastAsia="Aptos" w:hAnsi="Aptos" w:cs="Aptos"/>
        </w:rPr>
        <w:t xml:space="preserve">. </w:t>
      </w:r>
      <w:r w:rsidR="006D3518" w:rsidRPr="00D13B67">
        <w:rPr>
          <w:rFonts w:ascii="Aptos" w:eastAsia="Aptos" w:hAnsi="Aptos" w:cs="Aptos"/>
        </w:rPr>
        <w:t>A</w:t>
      </w:r>
      <w:r w:rsidR="00A1069B" w:rsidRPr="00D13B67">
        <w:rPr>
          <w:rFonts w:ascii="Aptos" w:eastAsia="Aptos" w:hAnsi="Aptos" w:cs="Aptos"/>
        </w:rPr>
        <w:t xml:space="preserve"> 2025 study</w:t>
      </w:r>
      <w:r w:rsidR="00E06C98" w:rsidRPr="00D13B67">
        <w:rPr>
          <w:rFonts w:ascii="Aptos" w:eastAsia="Aptos" w:hAnsi="Aptos" w:cs="Aptos"/>
        </w:rPr>
        <w:t xml:space="preserve"> suggest</w:t>
      </w:r>
      <w:r w:rsidR="009E57EF" w:rsidRPr="00D13B67">
        <w:rPr>
          <w:rFonts w:ascii="Aptos" w:eastAsia="Aptos" w:hAnsi="Aptos" w:cs="Aptos"/>
        </w:rPr>
        <w:t>s</w:t>
      </w:r>
      <w:r w:rsidR="00E06C98" w:rsidRPr="00D13B67">
        <w:rPr>
          <w:rFonts w:ascii="Aptos" w:eastAsia="Aptos" w:hAnsi="Aptos" w:cs="Aptos"/>
        </w:rPr>
        <w:t xml:space="preserve"> positive perceptions (92.8% of professors and 93.3% of students) toward academic accommodations (Lefler et al., 2025). </w:t>
      </w:r>
      <w:r w:rsidR="00585493" w:rsidRPr="00D13B67">
        <w:rPr>
          <w:rFonts w:ascii="Aptos" w:eastAsia="Aptos" w:hAnsi="Aptos" w:cs="Aptos"/>
        </w:rPr>
        <w:t xml:space="preserve">While </w:t>
      </w:r>
      <w:r w:rsidR="001F1FCE" w:rsidRPr="00D13B67">
        <w:rPr>
          <w:rFonts w:ascii="Aptos" w:eastAsia="Aptos" w:hAnsi="Aptos" w:cs="Aptos"/>
        </w:rPr>
        <w:t>Lefler et al.</w:t>
      </w:r>
      <w:r w:rsidR="007E2050" w:rsidRPr="00D13B67">
        <w:rPr>
          <w:rFonts w:ascii="Aptos" w:eastAsia="Aptos" w:hAnsi="Aptos" w:cs="Aptos"/>
        </w:rPr>
        <w:t>’s findings</w:t>
      </w:r>
      <w:r w:rsidR="00585493" w:rsidRPr="00D13B67">
        <w:rPr>
          <w:rFonts w:ascii="Aptos" w:eastAsia="Aptos" w:hAnsi="Aptos" w:cs="Aptos"/>
        </w:rPr>
        <w:t xml:space="preserve"> </w:t>
      </w:r>
      <w:r w:rsidR="007E2050" w:rsidRPr="00D13B67">
        <w:rPr>
          <w:rFonts w:ascii="Aptos" w:eastAsia="Aptos" w:hAnsi="Aptos" w:cs="Aptos"/>
        </w:rPr>
        <w:t>suggest general</w:t>
      </w:r>
      <w:r w:rsidR="00585493" w:rsidRPr="00D13B67">
        <w:rPr>
          <w:rFonts w:ascii="Aptos" w:eastAsia="Aptos" w:hAnsi="Aptos" w:cs="Aptos"/>
        </w:rPr>
        <w:t xml:space="preserve"> positiv</w:t>
      </w:r>
      <w:r w:rsidR="007E2050" w:rsidRPr="00D13B67">
        <w:rPr>
          <w:rFonts w:ascii="Aptos" w:eastAsia="Aptos" w:hAnsi="Aptos" w:cs="Aptos"/>
        </w:rPr>
        <w:t xml:space="preserve">ity, many others find much lower rates of </w:t>
      </w:r>
      <w:r w:rsidR="00FA2D1E" w:rsidRPr="00D13B67">
        <w:rPr>
          <w:rFonts w:ascii="Aptos" w:eastAsia="Aptos" w:hAnsi="Aptos" w:cs="Aptos"/>
        </w:rPr>
        <w:t xml:space="preserve">acceptance and willingness to fulfill legal accommodations. </w:t>
      </w:r>
      <w:r w:rsidR="001B7390" w:rsidRPr="00D13B67">
        <w:rPr>
          <w:rFonts w:ascii="Aptos" w:eastAsia="Aptos" w:hAnsi="Aptos" w:cs="Aptos"/>
        </w:rPr>
        <w:t>An early stud</w:t>
      </w:r>
      <w:r w:rsidR="006F3C9B" w:rsidRPr="00D13B67">
        <w:rPr>
          <w:rFonts w:ascii="Aptos" w:eastAsia="Aptos" w:hAnsi="Aptos" w:cs="Aptos"/>
        </w:rPr>
        <w:t>y</w:t>
      </w:r>
      <w:r w:rsidR="001B7390" w:rsidRPr="00D13B67">
        <w:rPr>
          <w:rFonts w:ascii="Aptos" w:eastAsia="Aptos" w:hAnsi="Aptos" w:cs="Aptos"/>
        </w:rPr>
        <w:t xml:space="preserve"> of accommodations and </w:t>
      </w:r>
      <w:r w:rsidR="001B7390" w:rsidRPr="00D13B67">
        <w:rPr>
          <w:rFonts w:ascii="Aptos" w:eastAsia="Aptos" w:hAnsi="Aptos" w:cs="Aptos"/>
        </w:rPr>
        <w:lastRenderedPageBreak/>
        <w:t xml:space="preserve">disability on campus found that </w:t>
      </w:r>
      <w:r w:rsidR="006D3518" w:rsidRPr="00D13B67">
        <w:rPr>
          <w:rFonts w:ascii="Aptos" w:eastAsia="Aptos" w:hAnsi="Aptos" w:cs="Aptos"/>
        </w:rPr>
        <w:t xml:space="preserve">only </w:t>
      </w:r>
      <w:r w:rsidR="00901BDD" w:rsidRPr="00D13B67">
        <w:rPr>
          <w:rFonts w:ascii="Aptos" w:eastAsia="Aptos" w:hAnsi="Aptos" w:cs="Aptos"/>
        </w:rPr>
        <w:t xml:space="preserve">one-quarter of disabled students felt supported by others and one-half believed </w:t>
      </w:r>
      <w:r w:rsidR="00BA2A50" w:rsidRPr="00D13B67">
        <w:rPr>
          <w:rFonts w:ascii="Aptos" w:eastAsia="Aptos" w:hAnsi="Aptos" w:cs="Aptos"/>
        </w:rPr>
        <w:t xml:space="preserve">their disability was not viewed as difference (Denny </w:t>
      </w:r>
      <w:r w:rsidR="002947B3" w:rsidRPr="00D13B67">
        <w:rPr>
          <w:rFonts w:ascii="Aptos" w:eastAsia="Aptos" w:hAnsi="Aptos" w:cs="Aptos"/>
        </w:rPr>
        <w:t>&amp;</w:t>
      </w:r>
      <w:r w:rsidR="00BA2A50" w:rsidRPr="00D13B67">
        <w:rPr>
          <w:rFonts w:ascii="Aptos" w:eastAsia="Aptos" w:hAnsi="Aptos" w:cs="Aptos"/>
        </w:rPr>
        <w:t xml:space="preserve"> Carson, 1994). </w:t>
      </w:r>
      <w:r w:rsidR="00BF0FD0" w:rsidRPr="00D13B67">
        <w:rPr>
          <w:rFonts w:ascii="Aptos" w:eastAsia="Aptos" w:hAnsi="Aptos" w:cs="Aptos"/>
        </w:rPr>
        <w:t>A 2020 study of students with disabilities found that only 38% of instructors were supportive of required accommodations and helped in facilitating the accommodations (</w:t>
      </w:r>
      <w:proofErr w:type="spellStart"/>
      <w:r w:rsidR="00BF0FD0" w:rsidRPr="00D13B67">
        <w:rPr>
          <w:rFonts w:ascii="Aptos" w:eastAsia="Aptos" w:hAnsi="Aptos" w:cs="Aptos"/>
        </w:rPr>
        <w:t>Mamboleo</w:t>
      </w:r>
      <w:proofErr w:type="spellEnd"/>
      <w:r w:rsidR="00BF0FD0" w:rsidRPr="00D13B67">
        <w:rPr>
          <w:rFonts w:ascii="Aptos" w:eastAsia="Aptos" w:hAnsi="Aptos" w:cs="Aptos"/>
        </w:rPr>
        <w:t xml:space="preserve"> et al., 2020). </w:t>
      </w:r>
      <w:r w:rsidR="009E57EF" w:rsidRPr="00D13B67">
        <w:t>A 2022</w:t>
      </w:r>
      <w:r w:rsidR="002B3172" w:rsidRPr="00D13B67">
        <w:t xml:space="preserve"> study found that students’ peers often questioned why accommodated students did not write exams with the class</w:t>
      </w:r>
      <w:r w:rsidR="006D3518" w:rsidRPr="00D13B67">
        <w:t xml:space="preserve">, potentially </w:t>
      </w:r>
      <w:r w:rsidR="002B3172" w:rsidRPr="00D13B67">
        <w:t>impacting student’s willingness to seek and use accommodations (Slaughter et al., 2022).</w:t>
      </w:r>
      <w:r w:rsidR="001342A5" w:rsidRPr="00D13B67">
        <w:t xml:space="preserve"> </w:t>
      </w:r>
    </w:p>
    <w:p w14:paraId="08881374" w14:textId="2CCB91FD" w:rsidR="00A50EAC" w:rsidRPr="00D13B67" w:rsidRDefault="00A50EAC" w:rsidP="00A50EAC">
      <w:pPr>
        <w:pStyle w:val="Heading5"/>
        <w:rPr>
          <w:rFonts w:ascii="Aptos" w:eastAsia="Aptos" w:hAnsi="Aptos" w:cs="Aptos"/>
        </w:rPr>
      </w:pPr>
      <w:r w:rsidRPr="00D13B67">
        <w:t xml:space="preserve">Faculty </w:t>
      </w:r>
      <w:r w:rsidR="009E57EF" w:rsidRPr="00D13B67">
        <w:t>Attitudes Toward</w:t>
      </w:r>
      <w:r w:rsidR="00217CE0" w:rsidRPr="00D13B67">
        <w:t xml:space="preserve"> Academic</w:t>
      </w:r>
      <w:r w:rsidRPr="00D13B67">
        <w:t xml:space="preserve"> Accommodations</w:t>
      </w:r>
    </w:p>
    <w:p w14:paraId="1257FD3B" w14:textId="32726584" w:rsidR="00983946" w:rsidRPr="00D13B67" w:rsidRDefault="00E06C98" w:rsidP="0080241A">
      <w:pPr>
        <w:pStyle w:val="Body"/>
        <w:rPr>
          <w:rFonts w:ascii="Aptos" w:eastAsia="Aptos" w:hAnsi="Aptos" w:cs="Aptos"/>
        </w:rPr>
      </w:pPr>
      <w:r w:rsidRPr="00D13B67">
        <w:t xml:space="preserve">Students note instructor resistance </w:t>
      </w:r>
      <w:r w:rsidR="00D03EE7" w:rsidRPr="00D13B67">
        <w:t>and</w:t>
      </w:r>
      <w:r w:rsidRPr="00D13B67">
        <w:t xml:space="preserve"> lack of familiarity wit</w:t>
      </w:r>
      <w:r w:rsidR="00D03EE7" w:rsidRPr="00D13B67">
        <w:t>h</w:t>
      </w:r>
      <w:r w:rsidRPr="00D13B67">
        <w:t xml:space="preserve"> how to provide accommodations as significant barriers to </w:t>
      </w:r>
      <w:r w:rsidR="00ED1C41" w:rsidRPr="00D13B67">
        <w:t>receiving</w:t>
      </w:r>
      <w:r w:rsidRPr="00D13B67">
        <w:t xml:space="preserve"> or using accommodations (Slaughter et al., 2022). Edwards et al. </w:t>
      </w:r>
      <w:r w:rsidR="007C422D" w:rsidRPr="00D13B67">
        <w:t xml:space="preserve">(2022) </w:t>
      </w:r>
      <w:r w:rsidR="00A102A4" w:rsidRPr="00D13B67">
        <w:t>a</w:t>
      </w:r>
      <w:r w:rsidRPr="00D13B67">
        <w:t xml:space="preserve">lso found stigma related </w:t>
      </w:r>
      <w:r w:rsidR="00570D79" w:rsidRPr="00D13B67">
        <w:t>to</w:t>
      </w:r>
      <w:r w:rsidRPr="00D13B67">
        <w:t xml:space="preserve"> disability and administrative processes as significant factors negatively influencing the use of accommodations.</w:t>
      </w:r>
      <w:r w:rsidR="00A102A4" w:rsidRPr="00D13B67">
        <w:t xml:space="preserve"> Perceptions of instructors’ negative attitudes toward accommodations </w:t>
      </w:r>
      <w:r w:rsidR="00F24031" w:rsidRPr="00D13B67">
        <w:t>are further documented in a study that found</w:t>
      </w:r>
      <w:r w:rsidR="00A102A4" w:rsidRPr="00D13B67">
        <w:t xml:space="preserve"> instructors could not understand accommodating “someone who appeared young and healthy” while one instructor claimed to have written a more difficult exam to negate the </w:t>
      </w:r>
      <w:r w:rsidR="00764FA2" w:rsidRPr="00D13B67">
        <w:t>‘</w:t>
      </w:r>
      <w:r w:rsidR="00A102A4" w:rsidRPr="00D13B67">
        <w:t>advantage</w:t>
      </w:r>
      <w:r w:rsidR="00764FA2" w:rsidRPr="00D13B67">
        <w:t>’</w:t>
      </w:r>
      <w:r w:rsidR="00A102A4" w:rsidRPr="00D13B67">
        <w:t xml:space="preserve"> of a student’s extra time accommodation (Sheets, 2019</w:t>
      </w:r>
      <w:r w:rsidR="00F31671" w:rsidRPr="00D13B67">
        <w:t>, p. 80</w:t>
      </w:r>
      <w:r w:rsidR="00A102A4" w:rsidRPr="00D13B67">
        <w:t>).</w:t>
      </w:r>
      <w:r w:rsidR="00F768B2" w:rsidRPr="00D13B67">
        <w:t xml:space="preserve"> </w:t>
      </w:r>
      <w:r w:rsidR="00F24031" w:rsidRPr="00D13B67">
        <w:t xml:space="preserve">Faculty perceptions </w:t>
      </w:r>
      <w:r w:rsidR="007B6010" w:rsidRPr="00D13B67">
        <w:t>of accommodations and disability are powerful factors in the use of accommodations.</w:t>
      </w:r>
      <w:r w:rsidR="002C2207" w:rsidRPr="00D13B67">
        <w:t xml:space="preserve"> </w:t>
      </w:r>
      <w:r w:rsidR="00141A9B" w:rsidRPr="00D13B67">
        <w:t>Nieminen &amp; Eaton</w:t>
      </w:r>
      <w:r w:rsidR="008150C7" w:rsidRPr="00D13B67">
        <w:t xml:space="preserve"> </w:t>
      </w:r>
      <w:r w:rsidR="00141A9B" w:rsidRPr="00D13B67">
        <w:t>(</w:t>
      </w:r>
      <w:r w:rsidR="008150C7" w:rsidRPr="00D13B67">
        <w:t>2024</w:t>
      </w:r>
      <w:r w:rsidR="00141A9B" w:rsidRPr="00D13B67">
        <w:t>)</w:t>
      </w:r>
      <w:r w:rsidR="008150C7" w:rsidRPr="00D13B67">
        <w:t xml:space="preserve"> found that students may avoid applying for accommodations </w:t>
      </w:r>
      <w:r w:rsidR="001D6915" w:rsidRPr="00D13B67">
        <w:t>for</w:t>
      </w:r>
      <w:r w:rsidR="008150C7" w:rsidRPr="00D13B67">
        <w:t xml:space="preserve"> fear of being considered cheaters because, as the authors note, Canadian universities dedicate considerable resources to prevent cheating during accommodated assessments</w:t>
      </w:r>
      <w:r w:rsidR="00141A9B" w:rsidRPr="00D13B67">
        <w:t>.</w:t>
      </w:r>
      <w:r w:rsidR="008150C7" w:rsidRPr="00D13B67">
        <w:t xml:space="preserve"> This conflates accommodations with cheating and disabled students as cheaters. </w:t>
      </w:r>
      <w:r w:rsidR="00C46F31" w:rsidRPr="00D13B67">
        <w:t xml:space="preserve">While “the academy is </w:t>
      </w:r>
      <w:r w:rsidR="00C46F31" w:rsidRPr="00D13B67">
        <w:lastRenderedPageBreak/>
        <w:t xml:space="preserve">part of a neo-liberal context where it is generally assumed that ‘we all’ value access and desire inclusion” </w:t>
      </w:r>
      <w:r w:rsidR="000F0E24" w:rsidRPr="00D13B67">
        <w:t xml:space="preserve">disability is often treated as </w:t>
      </w:r>
      <w:r w:rsidR="006C45A4" w:rsidRPr="00D13B67">
        <w:t>transitory, rare, and</w:t>
      </w:r>
      <w:r w:rsidR="00203314" w:rsidRPr="00D13B67">
        <w:t xml:space="preserve"> undesired by post-secondary institutions</w:t>
      </w:r>
      <w:r w:rsidR="006C45A4" w:rsidRPr="00D13B67">
        <w:t xml:space="preserve"> </w:t>
      </w:r>
      <w:r w:rsidR="00C46F31" w:rsidRPr="00D13B67">
        <w:t>(</w:t>
      </w:r>
      <w:proofErr w:type="spellStart"/>
      <w:r w:rsidR="00C46F31" w:rsidRPr="00D13B67">
        <w:t>Titchkosky</w:t>
      </w:r>
      <w:proofErr w:type="spellEnd"/>
      <w:r w:rsidR="00C46F31" w:rsidRPr="00D13B67">
        <w:t xml:space="preserve">, 2011, p. x). </w:t>
      </w:r>
      <w:r w:rsidR="00D958F3" w:rsidRPr="00D13B67">
        <w:t xml:space="preserve">Ideally, </w:t>
      </w:r>
      <w:r w:rsidR="00C45683" w:rsidRPr="00D13B67">
        <w:t>accessibility would be used to recruit new students and satisfy existing students</w:t>
      </w:r>
      <w:r w:rsidR="002C7518" w:rsidRPr="00D13B67">
        <w:t>;</w:t>
      </w:r>
      <w:r w:rsidR="00C45683" w:rsidRPr="00D13B67">
        <w:t xml:space="preserve"> however, it is not and thus legislation </w:t>
      </w:r>
      <w:r w:rsidR="002C7518" w:rsidRPr="00D13B67">
        <w:t>is required to make efforts toward accessibility compulsory (Ly et al., 2025).</w:t>
      </w:r>
      <w:r w:rsidR="00C46F31" w:rsidRPr="00D13B67">
        <w:t xml:space="preserve"> </w:t>
      </w:r>
      <w:r w:rsidR="002C2207" w:rsidRPr="00D13B67">
        <w:t>Faculty concerns about accommodations often cite unfair advantage or lowering standards (Maurya et al., 2025) and concerns about interference with their academic freedom (</w:t>
      </w:r>
      <w:proofErr w:type="spellStart"/>
      <w:r w:rsidR="002C2207" w:rsidRPr="00D13B67">
        <w:rPr>
          <w:rFonts w:ascii="Aptos" w:eastAsia="Aptos" w:hAnsi="Aptos" w:cs="Aptos"/>
        </w:rPr>
        <w:t>Lewsen</w:t>
      </w:r>
      <w:proofErr w:type="spellEnd"/>
      <w:r w:rsidR="002C2207" w:rsidRPr="00D13B67">
        <w:rPr>
          <w:rFonts w:ascii="Aptos" w:eastAsia="Aptos" w:hAnsi="Aptos" w:cs="Aptos"/>
        </w:rPr>
        <w:t>, 2024</w:t>
      </w:r>
      <w:r w:rsidR="00A74F15" w:rsidRPr="00D13B67">
        <w:rPr>
          <w:rFonts w:ascii="Aptos" w:eastAsia="Aptos" w:hAnsi="Aptos" w:cs="Aptos"/>
        </w:rPr>
        <w:t>; Gelber, 2025</w:t>
      </w:r>
      <w:r w:rsidR="002C2207" w:rsidRPr="00D13B67">
        <w:rPr>
          <w:rFonts w:ascii="Aptos" w:eastAsia="Aptos" w:hAnsi="Aptos" w:cs="Aptos"/>
        </w:rPr>
        <w:t>).</w:t>
      </w:r>
      <w:r w:rsidR="002C2207" w:rsidRPr="00D13B67">
        <w:t xml:space="preserve"> Some instructors expressed concerns about the feasibility of accommodations, despite eagerness to enhance the accessibility of their classrooms (</w:t>
      </w:r>
      <w:r w:rsidR="002C2207" w:rsidRPr="00D13B67">
        <w:rPr>
          <w:rFonts w:ascii="Aptos" w:eastAsia="Aptos" w:hAnsi="Aptos" w:cs="Aptos"/>
        </w:rPr>
        <w:t xml:space="preserve">Norris </w:t>
      </w:r>
      <w:r w:rsidR="00643DC4" w:rsidRPr="00D13B67">
        <w:rPr>
          <w:rFonts w:ascii="Aptos" w:eastAsia="Aptos" w:hAnsi="Aptos" w:cs="Aptos"/>
        </w:rPr>
        <w:t>&amp;</w:t>
      </w:r>
      <w:r w:rsidR="002C2207" w:rsidRPr="00D13B67">
        <w:rPr>
          <w:rFonts w:ascii="Aptos" w:eastAsia="Aptos" w:hAnsi="Aptos" w:cs="Aptos"/>
        </w:rPr>
        <w:t xml:space="preserve"> Wood, 2023). </w:t>
      </w:r>
    </w:p>
    <w:p w14:paraId="51898AC1" w14:textId="05C19F4C" w:rsidR="00951AFF" w:rsidRPr="00D13B67" w:rsidRDefault="00E06C98" w:rsidP="0080241A">
      <w:pPr>
        <w:pStyle w:val="Body"/>
        <w:rPr>
          <w:rFonts w:eastAsia="Aptos"/>
        </w:rPr>
      </w:pPr>
      <w:r w:rsidRPr="00D13B67">
        <w:rPr>
          <w:rFonts w:eastAsia="Aptos"/>
        </w:rPr>
        <w:t>A common refrain in popular articles about education is that any accommodation of difference is “quickly inflated into a ‘state of the kids these days’ fictionalization” (Dolmage, 2017, p. 69) where educators claim</w:t>
      </w:r>
      <w:r w:rsidR="00BB5C45" w:rsidRPr="00D13B67">
        <w:rPr>
          <w:rFonts w:eastAsia="Aptos"/>
        </w:rPr>
        <w:t>,</w:t>
      </w:r>
      <w:r w:rsidRPr="00D13B67">
        <w:rPr>
          <w:rFonts w:eastAsia="Aptos"/>
        </w:rPr>
        <w:t xml:space="preserve"> “I had to walk five miles barefoot up a snow-covered hill, so you should suffer too!” (Grant, 2023). These </w:t>
      </w:r>
      <w:r w:rsidR="00EE7AC1" w:rsidRPr="00D13B67">
        <w:rPr>
          <w:rFonts w:eastAsia="Aptos"/>
        </w:rPr>
        <w:t>non-academic</w:t>
      </w:r>
      <w:r w:rsidRPr="00D13B67">
        <w:rPr>
          <w:rFonts w:eastAsia="Aptos"/>
        </w:rPr>
        <w:t xml:space="preserve"> pieces often quote unnamed professors, rarely talk to any students, and argue that the rise in the number of accommodations is not due to the rise in </w:t>
      </w:r>
      <w:r w:rsidR="00DA64D0" w:rsidRPr="00D13B67">
        <w:rPr>
          <w:rFonts w:eastAsia="Aptos"/>
        </w:rPr>
        <w:t>number of disabled people</w:t>
      </w:r>
      <w:r w:rsidRPr="00D13B67">
        <w:rPr>
          <w:rFonts w:eastAsia="Aptos"/>
        </w:rPr>
        <w:t xml:space="preserve"> and increasing equitable access to education, but to people exploiting support systems for </w:t>
      </w:r>
      <w:r w:rsidR="00BC70E5" w:rsidRPr="00D13B67">
        <w:rPr>
          <w:rFonts w:eastAsia="Aptos"/>
        </w:rPr>
        <w:t>disabled students</w:t>
      </w:r>
      <w:r w:rsidRPr="00D13B67">
        <w:rPr>
          <w:rFonts w:eastAsia="Aptos"/>
        </w:rPr>
        <w:t xml:space="preserve"> through fake diagnoses </w:t>
      </w:r>
      <w:r w:rsidR="006A4FFA" w:rsidRPr="00D13B67">
        <w:rPr>
          <w:rFonts w:eastAsia="Aptos"/>
        </w:rPr>
        <w:t>as argued by</w:t>
      </w:r>
      <w:r w:rsidRPr="00D13B67">
        <w:rPr>
          <w:rFonts w:eastAsia="Aptos"/>
        </w:rPr>
        <w:t xml:space="preserve"> </w:t>
      </w:r>
      <w:proofErr w:type="spellStart"/>
      <w:r w:rsidRPr="00D13B67">
        <w:rPr>
          <w:rFonts w:eastAsia="Aptos"/>
        </w:rPr>
        <w:t>Lewsen</w:t>
      </w:r>
      <w:proofErr w:type="spellEnd"/>
      <w:r w:rsidRPr="00D13B67">
        <w:rPr>
          <w:rFonts w:eastAsia="Aptos"/>
        </w:rPr>
        <w:t xml:space="preserve"> </w:t>
      </w:r>
      <w:r w:rsidR="006A4FFA" w:rsidRPr="00D13B67">
        <w:rPr>
          <w:rFonts w:eastAsia="Aptos"/>
        </w:rPr>
        <w:t>(</w:t>
      </w:r>
      <w:r w:rsidRPr="00D13B67">
        <w:rPr>
          <w:rFonts w:eastAsia="Aptos"/>
        </w:rPr>
        <w:t>2024</w:t>
      </w:r>
      <w:r w:rsidR="006A4FFA" w:rsidRPr="00D13B67">
        <w:rPr>
          <w:rFonts w:eastAsia="Aptos"/>
        </w:rPr>
        <w:t xml:space="preserve">) and </w:t>
      </w:r>
      <w:proofErr w:type="spellStart"/>
      <w:r w:rsidRPr="00D13B67">
        <w:rPr>
          <w:rFonts w:eastAsia="Aptos"/>
        </w:rPr>
        <w:t>Horowitch</w:t>
      </w:r>
      <w:proofErr w:type="spellEnd"/>
      <w:r w:rsidR="006A4FFA" w:rsidRPr="00D13B67">
        <w:rPr>
          <w:rFonts w:eastAsia="Aptos"/>
        </w:rPr>
        <w:t xml:space="preserve"> (</w:t>
      </w:r>
      <w:r w:rsidRPr="00D13B67">
        <w:rPr>
          <w:rFonts w:eastAsia="Aptos"/>
        </w:rPr>
        <w:t>2025). These articles posit that accommodations are no longer for students with disabilities, but for “rich kids getting extra time on tests” (</w:t>
      </w:r>
      <w:proofErr w:type="spellStart"/>
      <w:r w:rsidRPr="00D13B67">
        <w:rPr>
          <w:rFonts w:eastAsia="Aptos"/>
        </w:rPr>
        <w:t>Horowitch</w:t>
      </w:r>
      <w:proofErr w:type="spellEnd"/>
      <w:r w:rsidRPr="00D13B67">
        <w:rPr>
          <w:rFonts w:eastAsia="Aptos"/>
        </w:rPr>
        <w:t xml:space="preserve">, 2025). </w:t>
      </w:r>
      <w:proofErr w:type="spellStart"/>
      <w:r w:rsidR="00443FFB" w:rsidRPr="00D13B67">
        <w:rPr>
          <w:rFonts w:eastAsia="Aptos"/>
        </w:rPr>
        <w:t>Horowitch</w:t>
      </w:r>
      <w:proofErr w:type="spellEnd"/>
      <w:r w:rsidRPr="00D13B67">
        <w:rPr>
          <w:rFonts w:eastAsia="Aptos"/>
        </w:rPr>
        <w:t xml:space="preserve"> claims that </w:t>
      </w:r>
      <w:r w:rsidR="00BC70E5" w:rsidRPr="00D13B67">
        <w:rPr>
          <w:rFonts w:eastAsia="Aptos"/>
        </w:rPr>
        <w:t>a</w:t>
      </w:r>
      <w:r w:rsidRPr="00D13B67">
        <w:rPr>
          <w:rFonts w:eastAsia="Aptos"/>
        </w:rPr>
        <w:t xml:space="preserve"> professor feels sorry “for the students not taking advantage of” the accommodations system</w:t>
      </w:r>
      <w:r w:rsidR="00443FFB" w:rsidRPr="00D13B67">
        <w:rPr>
          <w:rFonts w:eastAsia="Aptos"/>
        </w:rPr>
        <w:t xml:space="preserve">. </w:t>
      </w:r>
      <w:r w:rsidR="00F76976" w:rsidRPr="00D13B67">
        <w:rPr>
          <w:rFonts w:eastAsia="Aptos"/>
        </w:rPr>
        <w:t xml:space="preserve">This “fear of the disability con” </w:t>
      </w:r>
      <w:r w:rsidR="004A69FA" w:rsidRPr="00D13B67">
        <w:rPr>
          <w:rFonts w:eastAsia="Aptos"/>
        </w:rPr>
        <w:t xml:space="preserve">is a “moral panic that </w:t>
      </w:r>
      <w:proofErr w:type="gramStart"/>
      <w:r w:rsidR="004A69FA" w:rsidRPr="00D13B67">
        <w:rPr>
          <w:rFonts w:eastAsia="Aptos"/>
        </w:rPr>
        <w:t>individuals</w:t>
      </w:r>
      <w:proofErr w:type="gramEnd"/>
      <w:r w:rsidR="004A69FA" w:rsidRPr="00D13B67">
        <w:rPr>
          <w:rFonts w:eastAsia="Aptos"/>
        </w:rPr>
        <w:t xml:space="preserve"> </w:t>
      </w:r>
      <w:r w:rsidR="004A69FA" w:rsidRPr="00D13B67">
        <w:rPr>
          <w:rFonts w:eastAsia="Aptos"/>
        </w:rPr>
        <w:lastRenderedPageBreak/>
        <w:t xml:space="preserve">fake disabilities to take advantage of rights, accommodations, or benefits” (Dorfman, 2019, p. 1053). </w:t>
      </w:r>
      <w:r w:rsidR="00443FFB" w:rsidRPr="00D13B67">
        <w:rPr>
          <w:rFonts w:eastAsia="Aptos"/>
        </w:rPr>
        <w:t xml:space="preserve">These attitudes are not new. </w:t>
      </w:r>
      <w:r w:rsidR="00951AFF" w:rsidRPr="00D13B67">
        <w:rPr>
          <w:rFonts w:eastAsia="Aptos"/>
        </w:rPr>
        <w:t xml:space="preserve">A 1997 </w:t>
      </w:r>
      <w:r w:rsidR="00951AFF" w:rsidRPr="00D13B67">
        <w:rPr>
          <w:rFonts w:eastAsia="Aptos"/>
          <w:i/>
          <w:iCs/>
        </w:rPr>
        <w:t>New York Times</w:t>
      </w:r>
      <w:r w:rsidR="00951AFF" w:rsidRPr="00D13B67">
        <w:rPr>
          <w:rFonts w:eastAsia="Aptos"/>
        </w:rPr>
        <w:t xml:space="preserve"> opinion piece </w:t>
      </w:r>
      <w:r w:rsidR="00126515" w:rsidRPr="00D13B67">
        <w:rPr>
          <w:rFonts w:eastAsia="Aptos"/>
        </w:rPr>
        <w:t>positioned accommodations as “subvert[</w:t>
      </w:r>
      <w:proofErr w:type="spellStart"/>
      <w:r w:rsidR="00126515" w:rsidRPr="00D13B67">
        <w:rPr>
          <w:rFonts w:eastAsia="Aptos"/>
        </w:rPr>
        <w:t>ing</w:t>
      </w:r>
      <w:proofErr w:type="spellEnd"/>
      <w:r w:rsidR="00126515" w:rsidRPr="00D13B67">
        <w:rPr>
          <w:rFonts w:eastAsia="Aptos"/>
        </w:rPr>
        <w:t>] the goal of education</w:t>
      </w:r>
      <w:r w:rsidR="002A3926" w:rsidRPr="00D13B67">
        <w:rPr>
          <w:rFonts w:eastAsia="Aptos"/>
        </w:rPr>
        <w:t xml:space="preserve">” </w:t>
      </w:r>
      <w:r w:rsidR="00D47D83" w:rsidRPr="00D13B67">
        <w:rPr>
          <w:rFonts w:eastAsia="Aptos"/>
        </w:rPr>
        <w:t xml:space="preserve">(Sternberg, 1997). The author </w:t>
      </w:r>
      <w:r w:rsidR="00581D31" w:rsidRPr="00D13B67">
        <w:rPr>
          <w:rFonts w:eastAsia="Aptos"/>
        </w:rPr>
        <w:t xml:space="preserve">makes outlandish </w:t>
      </w:r>
      <w:r w:rsidR="00D47D83" w:rsidRPr="00D13B67">
        <w:rPr>
          <w:rFonts w:eastAsia="Aptos"/>
        </w:rPr>
        <w:t xml:space="preserve">claims </w:t>
      </w:r>
      <w:r w:rsidR="00581D31" w:rsidRPr="00D13B67">
        <w:rPr>
          <w:rFonts w:eastAsia="Aptos"/>
        </w:rPr>
        <w:t>about parents</w:t>
      </w:r>
      <w:r w:rsidR="00D47D83" w:rsidRPr="00D13B67">
        <w:rPr>
          <w:rFonts w:eastAsia="Aptos"/>
        </w:rPr>
        <w:t xml:space="preserve"> </w:t>
      </w:r>
      <w:r w:rsidR="00581D31" w:rsidRPr="00D13B67">
        <w:rPr>
          <w:rFonts w:eastAsia="Aptos"/>
        </w:rPr>
        <w:t>seeking</w:t>
      </w:r>
      <w:r w:rsidR="00D47D83" w:rsidRPr="00D13B67">
        <w:rPr>
          <w:rFonts w:eastAsia="Aptos"/>
        </w:rPr>
        <w:t xml:space="preserve"> disability diagnoses </w:t>
      </w:r>
      <w:r w:rsidR="00581D31" w:rsidRPr="00D13B67">
        <w:rPr>
          <w:rFonts w:eastAsia="Aptos"/>
        </w:rPr>
        <w:t>so their children will be eligible for the benefits, that the number of truly disabled students is impossible</w:t>
      </w:r>
      <w:r w:rsidR="009C425D" w:rsidRPr="00D13B67">
        <w:rPr>
          <w:rFonts w:eastAsia="Aptos"/>
        </w:rPr>
        <w:t xml:space="preserve"> to quantify due to this fraud, and that</w:t>
      </w:r>
      <w:r w:rsidR="002A3926" w:rsidRPr="00D13B67">
        <w:rPr>
          <w:rFonts w:eastAsia="Aptos"/>
        </w:rPr>
        <w:t xml:space="preserve"> “even students with genuine disabilities should not use [accommodations] as an excuse for not learning.”</w:t>
      </w:r>
      <w:r w:rsidR="008815C5" w:rsidRPr="00D13B67">
        <w:rPr>
          <w:rFonts w:eastAsia="Aptos"/>
        </w:rPr>
        <w:t xml:space="preserve"> In 1999, </w:t>
      </w:r>
      <w:r w:rsidR="008815C5" w:rsidRPr="00D13B67">
        <w:rPr>
          <w:rFonts w:eastAsia="Aptos"/>
          <w:i/>
          <w:iCs/>
        </w:rPr>
        <w:t>Washington Monthly</w:t>
      </w:r>
      <w:r w:rsidR="008815C5" w:rsidRPr="00D13B67">
        <w:rPr>
          <w:rFonts w:eastAsia="Aptos"/>
        </w:rPr>
        <w:t xml:space="preserve"> published an article </w:t>
      </w:r>
      <w:r w:rsidR="002D7C78" w:rsidRPr="00D13B67">
        <w:rPr>
          <w:rFonts w:eastAsia="Aptos"/>
        </w:rPr>
        <w:t xml:space="preserve">suggesting that </w:t>
      </w:r>
      <w:r w:rsidR="003320C5" w:rsidRPr="00D13B67">
        <w:rPr>
          <w:rFonts w:eastAsia="Aptos"/>
        </w:rPr>
        <w:t>the American Individuals with Disabilities Education Act</w:t>
      </w:r>
      <w:r w:rsidR="000D76FB" w:rsidRPr="00D13B67">
        <w:rPr>
          <w:rFonts w:eastAsia="Aptos"/>
        </w:rPr>
        <w:t xml:space="preserve"> inflated the definition of disability and encourages wealthy families “to capitalize on their weaknesses at the expense of their peers”</w:t>
      </w:r>
      <w:r w:rsidR="007E6095" w:rsidRPr="00D13B67">
        <w:rPr>
          <w:rFonts w:eastAsia="Aptos"/>
        </w:rPr>
        <w:t xml:space="preserve"> (Worth).</w:t>
      </w:r>
      <w:r w:rsidR="00FB4379" w:rsidRPr="00D13B67">
        <w:rPr>
          <w:rFonts w:eastAsia="Aptos"/>
        </w:rPr>
        <w:t xml:space="preserve"> Unfortunately, these attitudes persist.</w:t>
      </w:r>
      <w:r w:rsidR="007B53FE" w:rsidRPr="00D13B67">
        <w:rPr>
          <w:rFonts w:eastAsia="Aptos"/>
        </w:rPr>
        <w:t xml:space="preserve"> A 2017 article </w:t>
      </w:r>
      <w:r w:rsidR="00675F73" w:rsidRPr="00D13B67">
        <w:rPr>
          <w:rFonts w:eastAsia="Aptos"/>
        </w:rPr>
        <w:t xml:space="preserve">portrays a faculty member who </w:t>
      </w:r>
      <w:r w:rsidR="008F2E34" w:rsidRPr="00D13B67">
        <w:rPr>
          <w:rFonts w:eastAsia="Aptos"/>
        </w:rPr>
        <w:t>‘</w:t>
      </w:r>
      <w:r w:rsidR="00675F73" w:rsidRPr="00D13B67">
        <w:rPr>
          <w:rFonts w:eastAsia="Aptos"/>
        </w:rPr>
        <w:t>dreads</w:t>
      </w:r>
      <w:r w:rsidR="008F2E34" w:rsidRPr="00D13B67">
        <w:rPr>
          <w:rFonts w:eastAsia="Aptos"/>
        </w:rPr>
        <w:t>’</w:t>
      </w:r>
      <w:r w:rsidR="00675F73" w:rsidRPr="00D13B67">
        <w:rPr>
          <w:rFonts w:eastAsia="Aptos"/>
        </w:rPr>
        <w:t xml:space="preserve"> the accommodations talk, stating </w:t>
      </w:r>
      <w:r w:rsidR="00BF3F0B" w:rsidRPr="00D13B67">
        <w:rPr>
          <w:rFonts w:eastAsia="Aptos"/>
        </w:rPr>
        <w:t>faculty should guide students to understand “when it’s best to try to cope on one’s own</w:t>
      </w:r>
      <w:r w:rsidR="008618A8" w:rsidRPr="00D13B67">
        <w:rPr>
          <w:rFonts w:eastAsia="Aptos"/>
        </w:rPr>
        <w:t>”</w:t>
      </w:r>
      <w:r w:rsidR="008F2E34" w:rsidRPr="00D13B67">
        <w:rPr>
          <w:rFonts w:eastAsia="Aptos"/>
        </w:rPr>
        <w:t xml:space="preserve"> (Hornstein).</w:t>
      </w:r>
      <w:r w:rsidR="008618A8" w:rsidRPr="00D13B67">
        <w:rPr>
          <w:rFonts w:eastAsia="Aptos"/>
        </w:rPr>
        <w:t xml:space="preserve"> Rarely do these</w:t>
      </w:r>
      <w:r w:rsidR="00E46A32" w:rsidRPr="00D13B67">
        <w:rPr>
          <w:rFonts w:eastAsia="Aptos"/>
        </w:rPr>
        <w:t xml:space="preserve"> articles offer grace to students</w:t>
      </w:r>
      <w:r w:rsidR="00DE6B69" w:rsidRPr="00D13B67">
        <w:rPr>
          <w:rFonts w:eastAsia="Aptos"/>
        </w:rPr>
        <w:t>;</w:t>
      </w:r>
      <w:r w:rsidR="00E46A32" w:rsidRPr="00D13B67">
        <w:rPr>
          <w:rFonts w:eastAsia="Aptos"/>
        </w:rPr>
        <w:t xml:space="preserve"> nor do they offer solutions</w:t>
      </w:r>
      <w:r w:rsidR="00DE6B69" w:rsidRPr="00D13B67">
        <w:rPr>
          <w:rFonts w:eastAsia="Aptos"/>
        </w:rPr>
        <w:t>, only complaints.</w:t>
      </w:r>
    </w:p>
    <w:p w14:paraId="120A6D2C" w14:textId="77777777" w:rsidR="00487267" w:rsidRPr="00D13B67" w:rsidRDefault="00E06C98" w:rsidP="00BC14FE">
      <w:pPr>
        <w:pStyle w:val="Body"/>
        <w:rPr>
          <w:rFonts w:eastAsia="Aptos"/>
        </w:rPr>
      </w:pPr>
      <w:r w:rsidRPr="00D13B67">
        <w:rPr>
          <w:rFonts w:eastAsia="Aptos"/>
        </w:rPr>
        <w:t>Others worry that equitable access to education contributes to “a generalized culture of leniency” (</w:t>
      </w:r>
      <w:proofErr w:type="spellStart"/>
      <w:r w:rsidRPr="00D13B67">
        <w:rPr>
          <w:rFonts w:eastAsia="Aptos"/>
        </w:rPr>
        <w:t>Lewsen</w:t>
      </w:r>
      <w:proofErr w:type="spellEnd"/>
      <w:r w:rsidRPr="00D13B67">
        <w:rPr>
          <w:rFonts w:eastAsia="Aptos"/>
        </w:rPr>
        <w:t>, 2024). Th</w:t>
      </w:r>
      <w:r w:rsidR="009A3D10" w:rsidRPr="00D13B67">
        <w:rPr>
          <w:rFonts w:eastAsia="Aptos"/>
        </w:rPr>
        <w:t>is</w:t>
      </w:r>
      <w:r w:rsidRPr="00D13B67">
        <w:rPr>
          <w:rFonts w:eastAsia="Aptos"/>
        </w:rPr>
        <w:t xml:space="preserve"> dangerous rhetoric contradicts most serious research and perpetuate</w:t>
      </w:r>
      <w:r w:rsidR="009A3D10" w:rsidRPr="00D13B67">
        <w:rPr>
          <w:rFonts w:eastAsia="Aptos"/>
        </w:rPr>
        <w:t>s</w:t>
      </w:r>
      <w:r w:rsidRPr="00D13B67">
        <w:rPr>
          <w:rFonts w:eastAsia="Aptos"/>
        </w:rPr>
        <w:t xml:space="preserve"> the academic ableism that pervades education</w:t>
      </w:r>
      <w:r w:rsidR="009279FD" w:rsidRPr="00D13B67">
        <w:rPr>
          <w:rFonts w:eastAsia="Aptos"/>
        </w:rPr>
        <w:t>,</w:t>
      </w:r>
      <w:r w:rsidRPr="00D13B67">
        <w:rPr>
          <w:rFonts w:eastAsia="Aptos"/>
        </w:rPr>
        <w:t xml:space="preserve"> reaffirming </w:t>
      </w:r>
      <w:r w:rsidR="009279FD" w:rsidRPr="00D13B67">
        <w:rPr>
          <w:rFonts w:eastAsia="Aptos"/>
        </w:rPr>
        <w:t xml:space="preserve">the misguided belief </w:t>
      </w:r>
      <w:r w:rsidRPr="00D13B67">
        <w:rPr>
          <w:rFonts w:eastAsia="Aptos"/>
        </w:rPr>
        <w:t xml:space="preserve">that only certain bodies and minds have the right to pass through </w:t>
      </w:r>
      <w:r w:rsidR="009279FD" w:rsidRPr="00D13B67">
        <w:rPr>
          <w:rFonts w:eastAsia="Aptos"/>
        </w:rPr>
        <w:t>the hallowed</w:t>
      </w:r>
      <w:r w:rsidRPr="00D13B67">
        <w:rPr>
          <w:rFonts w:eastAsia="Aptos"/>
        </w:rPr>
        <w:t xml:space="preserve"> halls</w:t>
      </w:r>
      <w:r w:rsidR="009279FD" w:rsidRPr="00D13B67">
        <w:rPr>
          <w:rFonts w:eastAsia="Aptos"/>
        </w:rPr>
        <w:t xml:space="preserve"> of academia</w:t>
      </w:r>
      <w:r w:rsidRPr="00D13B67">
        <w:rPr>
          <w:rFonts w:eastAsia="Aptos"/>
        </w:rPr>
        <w:t>.</w:t>
      </w:r>
      <w:r w:rsidR="00407466" w:rsidRPr="00D13B67">
        <w:rPr>
          <w:rFonts w:eastAsia="Aptos"/>
        </w:rPr>
        <w:t xml:space="preserve"> </w:t>
      </w:r>
      <w:r w:rsidR="00A961ED" w:rsidRPr="00D13B67">
        <w:rPr>
          <w:rFonts w:eastAsia="Aptos"/>
        </w:rPr>
        <w:t>In fact, disability advocates note that disabled people don’t abuse accommodations but regularly ask for fewer than they need or would benefit from</w:t>
      </w:r>
      <w:r w:rsidR="003D0D92" w:rsidRPr="00D13B67">
        <w:rPr>
          <w:rFonts w:eastAsia="Aptos"/>
        </w:rPr>
        <w:t>; “disabled people are less likely to ask for what we need, not the other way around” (Withers, 2012, p. 115).</w:t>
      </w:r>
      <w:r w:rsidR="00723235" w:rsidRPr="00D13B67">
        <w:rPr>
          <w:rFonts w:eastAsia="Aptos"/>
        </w:rPr>
        <w:t xml:space="preserve"> </w:t>
      </w:r>
      <w:r w:rsidR="00156E95" w:rsidRPr="00D13B67">
        <w:rPr>
          <w:rFonts w:eastAsia="Aptos"/>
        </w:rPr>
        <w:t xml:space="preserve">Gelber (2025) reviews the history of </w:t>
      </w:r>
      <w:r w:rsidR="00C82762" w:rsidRPr="00D13B67">
        <w:rPr>
          <w:rFonts w:eastAsia="Aptos"/>
        </w:rPr>
        <w:t xml:space="preserve">learning disabilities in </w:t>
      </w:r>
      <w:r w:rsidR="00C82762" w:rsidRPr="00D13B67">
        <w:rPr>
          <w:rFonts w:eastAsia="Aptos"/>
        </w:rPr>
        <w:lastRenderedPageBreak/>
        <w:t xml:space="preserve">American higher education and notes </w:t>
      </w:r>
      <w:r w:rsidR="00611163" w:rsidRPr="00D13B67">
        <w:rPr>
          <w:rFonts w:eastAsia="Aptos"/>
        </w:rPr>
        <w:t xml:space="preserve">that </w:t>
      </w:r>
      <w:r w:rsidR="00C82762" w:rsidRPr="00D13B67">
        <w:rPr>
          <w:rFonts w:eastAsia="Aptos"/>
        </w:rPr>
        <w:t>the overreaction to accommodations and modified teaching practices is not new.</w:t>
      </w:r>
      <w:r w:rsidR="00C02435" w:rsidRPr="00D13B67">
        <w:rPr>
          <w:rFonts w:eastAsia="Aptos"/>
        </w:rPr>
        <w:t xml:space="preserve"> In fact, Gelber notes that “</w:t>
      </w:r>
      <w:r w:rsidR="00156E95" w:rsidRPr="00D13B67">
        <w:rPr>
          <w:rFonts w:eastAsia="Aptos"/>
        </w:rPr>
        <w:t xml:space="preserve">in retrospect these concerns appear overblown because so many of the early accommodations for students with </w:t>
      </w:r>
      <w:r w:rsidR="00C02435" w:rsidRPr="00D13B67">
        <w:rPr>
          <w:rFonts w:eastAsia="Aptos"/>
        </w:rPr>
        <w:t>[disabilities]</w:t>
      </w:r>
      <w:r w:rsidR="00156E95" w:rsidRPr="00D13B67">
        <w:rPr>
          <w:rFonts w:eastAsia="Aptos"/>
        </w:rPr>
        <w:t xml:space="preserve"> are now regarded as practices that benefit all students</w:t>
      </w:r>
      <w:r w:rsidR="00C02435" w:rsidRPr="00D13B67">
        <w:rPr>
          <w:rFonts w:eastAsia="Aptos"/>
        </w:rPr>
        <w:t>”</w:t>
      </w:r>
      <w:r w:rsidR="00156E95" w:rsidRPr="00D13B67">
        <w:rPr>
          <w:rFonts w:eastAsia="Aptos"/>
        </w:rPr>
        <w:t xml:space="preserve"> </w:t>
      </w:r>
      <w:r w:rsidR="00C02435" w:rsidRPr="00D13B67">
        <w:rPr>
          <w:rFonts w:eastAsia="Aptos"/>
        </w:rPr>
        <w:t>(</w:t>
      </w:r>
      <w:r w:rsidR="00156E95" w:rsidRPr="00D13B67">
        <w:rPr>
          <w:rFonts w:eastAsia="Aptos"/>
        </w:rPr>
        <w:t>p. 28)</w:t>
      </w:r>
      <w:r w:rsidR="00C02435" w:rsidRPr="00D13B67">
        <w:rPr>
          <w:rFonts w:eastAsia="Aptos"/>
        </w:rPr>
        <w:t xml:space="preserve">. </w:t>
      </w:r>
      <w:r w:rsidR="00AF560B" w:rsidRPr="00D13B67">
        <w:rPr>
          <w:rFonts w:eastAsia="Aptos"/>
        </w:rPr>
        <w:t xml:space="preserve">Gelber goes on to argue that as practices developed to assist disabled students </w:t>
      </w:r>
      <w:r w:rsidR="004D666F" w:rsidRPr="00D13B67">
        <w:rPr>
          <w:rFonts w:eastAsia="Aptos"/>
        </w:rPr>
        <w:t xml:space="preserve">often become mainstream best practice, some </w:t>
      </w:r>
    </w:p>
    <w:p w14:paraId="7D083EC1" w14:textId="329521E3" w:rsidR="00487267" w:rsidRPr="00D13B67" w:rsidRDefault="004D666F" w:rsidP="00487267">
      <w:pPr>
        <w:pStyle w:val="Body"/>
        <w:ind w:left="709" w:firstLine="0"/>
        <w:rPr>
          <w:rFonts w:eastAsia="Aptos"/>
        </w:rPr>
      </w:pPr>
      <w:r w:rsidRPr="00D13B67">
        <w:rPr>
          <w:rFonts w:eastAsia="Aptos"/>
        </w:rPr>
        <w:t>“</w:t>
      </w:r>
      <w:proofErr w:type="gramStart"/>
      <w:r w:rsidR="00156E95" w:rsidRPr="00D13B67">
        <w:rPr>
          <w:rFonts w:eastAsia="Aptos"/>
        </w:rPr>
        <w:t>recommended</w:t>
      </w:r>
      <w:proofErr w:type="gramEnd"/>
      <w:r w:rsidR="00156E95" w:rsidRPr="00D13B67">
        <w:rPr>
          <w:rFonts w:eastAsia="Aptos"/>
        </w:rPr>
        <w:t xml:space="preserve"> supports </w:t>
      </w:r>
      <w:r w:rsidRPr="00D13B67">
        <w:rPr>
          <w:rFonts w:eastAsia="Aptos"/>
        </w:rPr>
        <w:t xml:space="preserve">[for disabled students] </w:t>
      </w:r>
      <w:r w:rsidR="00156E95" w:rsidRPr="00D13B67">
        <w:rPr>
          <w:rFonts w:eastAsia="Aptos"/>
        </w:rPr>
        <w:t>can even seem like an indictment of the overall quality of college instruction because they continue to include basic practices such as stating the goal for the class session, highlighting key points, and providing clear written directions</w:t>
      </w:r>
      <w:r w:rsidR="00487267" w:rsidRPr="00D13B67">
        <w:rPr>
          <w:rFonts w:eastAsia="Aptos"/>
        </w:rPr>
        <w:t>.</w:t>
      </w:r>
      <w:r w:rsidR="00156E95" w:rsidRPr="00D13B67">
        <w:rPr>
          <w:rFonts w:eastAsia="Aptos"/>
        </w:rPr>
        <w:t>” (p. 28)</w:t>
      </w:r>
      <w:r w:rsidRPr="00D13B67">
        <w:rPr>
          <w:rFonts w:eastAsia="Aptos"/>
        </w:rPr>
        <w:t xml:space="preserve"> </w:t>
      </w:r>
    </w:p>
    <w:p w14:paraId="43565BD1" w14:textId="350ADE8B" w:rsidR="00DF4564" w:rsidRPr="00D13B67" w:rsidRDefault="00723235" w:rsidP="00487267">
      <w:pPr>
        <w:pStyle w:val="Body"/>
        <w:ind w:firstLine="0"/>
        <w:rPr>
          <w:rFonts w:eastAsia="Aptos"/>
        </w:rPr>
      </w:pPr>
      <w:r w:rsidRPr="00D13B67">
        <w:rPr>
          <w:rFonts w:eastAsia="Aptos"/>
        </w:rPr>
        <w:t>Regardless of instructor perceptions of fairness, accommodations are needed to create equitable access for disabled students. Accessible experiences</w:t>
      </w:r>
      <w:r w:rsidR="00DA64D0" w:rsidRPr="00D13B67">
        <w:rPr>
          <w:rFonts w:eastAsia="Aptos"/>
        </w:rPr>
        <w:t>, specifically more accessible digital learning material,</w:t>
      </w:r>
      <w:r w:rsidRPr="00D13B67">
        <w:rPr>
          <w:rFonts w:eastAsia="Aptos"/>
        </w:rPr>
        <w:t xml:space="preserve"> would reduce the need for accommodations and create inclusive educational experiences for all.</w:t>
      </w:r>
      <w:r w:rsidR="00886119" w:rsidRPr="00D13B67">
        <w:rPr>
          <w:rFonts w:eastAsia="Aptos"/>
        </w:rPr>
        <w:t xml:space="preserve"> While that would not eliminate the ableism that pervades academia, it would reduce the burden on students </w:t>
      </w:r>
      <w:r w:rsidR="0036485D" w:rsidRPr="00D13B67">
        <w:rPr>
          <w:rFonts w:eastAsia="Aptos"/>
        </w:rPr>
        <w:t>to seek the assistance of those who may not want them present.</w:t>
      </w:r>
    </w:p>
    <w:p w14:paraId="4BBAE737" w14:textId="67AA3185" w:rsidR="00217CE0" w:rsidRPr="00D13B67" w:rsidRDefault="00217CE0" w:rsidP="00217CE0">
      <w:pPr>
        <w:pStyle w:val="Heading5"/>
      </w:pPr>
      <w:r w:rsidRPr="00D13B67">
        <w:t>Efficacy of Academic Accommodations</w:t>
      </w:r>
    </w:p>
    <w:p w14:paraId="6B963A5B" w14:textId="77777777" w:rsidR="003A2B95" w:rsidRPr="00D13B67" w:rsidRDefault="00BC14FE" w:rsidP="0080241A">
      <w:pPr>
        <w:pStyle w:val="Body"/>
        <w:rPr>
          <w:rFonts w:eastAsia="Aptos"/>
        </w:rPr>
      </w:pPr>
      <w:r w:rsidRPr="00D13B67">
        <w:rPr>
          <w:rFonts w:eastAsia="Aptos"/>
        </w:rPr>
        <w:t>Broken</w:t>
      </w:r>
      <w:r w:rsidR="00E06C98" w:rsidRPr="00D13B67">
        <w:rPr>
          <w:rFonts w:eastAsia="Aptos"/>
        </w:rPr>
        <w:t xml:space="preserve"> bureaucracy</w:t>
      </w:r>
      <w:r w:rsidRPr="00D13B67">
        <w:rPr>
          <w:rFonts w:eastAsia="Aptos"/>
        </w:rPr>
        <w:t xml:space="preserve">, </w:t>
      </w:r>
      <w:r w:rsidR="00E06C98" w:rsidRPr="00D13B67">
        <w:rPr>
          <w:rFonts w:eastAsia="Aptos"/>
        </w:rPr>
        <w:t>communication</w:t>
      </w:r>
      <w:r w:rsidRPr="00D13B67">
        <w:rPr>
          <w:rFonts w:eastAsia="Aptos"/>
        </w:rPr>
        <w:t>s,</w:t>
      </w:r>
      <w:r w:rsidR="00E06C98" w:rsidRPr="00D13B67">
        <w:rPr>
          <w:rFonts w:eastAsia="Aptos"/>
        </w:rPr>
        <w:t xml:space="preserve"> and the use of “one shoe fits all approach” to accommodations </w:t>
      </w:r>
      <w:r w:rsidR="00DF078D" w:rsidRPr="00D13B67">
        <w:rPr>
          <w:rFonts w:eastAsia="Aptos"/>
        </w:rPr>
        <w:t>are</w:t>
      </w:r>
      <w:r w:rsidR="00E06C98" w:rsidRPr="00D13B67">
        <w:rPr>
          <w:rFonts w:eastAsia="Aptos"/>
        </w:rPr>
        <w:t xml:space="preserve"> significant impediments to the efficacy of accommodations (Low, 2019, p. 76).</w:t>
      </w:r>
      <w:r w:rsidRPr="00D13B67">
        <w:rPr>
          <w:rFonts w:eastAsia="Aptos"/>
        </w:rPr>
        <w:t xml:space="preserve"> </w:t>
      </w:r>
      <w:r w:rsidR="00EB6903" w:rsidRPr="00D13B67">
        <w:rPr>
          <w:rFonts w:eastAsia="Aptos"/>
        </w:rPr>
        <w:t>A</w:t>
      </w:r>
      <w:r w:rsidR="00685164" w:rsidRPr="00D13B67">
        <w:rPr>
          <w:rFonts w:eastAsia="Aptos"/>
        </w:rPr>
        <w:t>ccommodations should be individually tailored as part of a comprehensive plan, as generic accommodations might be counterproductive if applied based solely on diagnosis rather than individual needs (</w:t>
      </w:r>
      <w:proofErr w:type="spellStart"/>
      <w:r w:rsidR="00685164" w:rsidRPr="00D13B67">
        <w:rPr>
          <w:rFonts w:eastAsia="Aptos"/>
        </w:rPr>
        <w:t>Baeyens</w:t>
      </w:r>
      <w:proofErr w:type="spellEnd"/>
      <w:r w:rsidR="00685164" w:rsidRPr="00D13B67">
        <w:rPr>
          <w:rFonts w:eastAsia="Aptos"/>
        </w:rPr>
        <w:t>, 2021). Students are</w:t>
      </w:r>
      <w:r w:rsidR="00805982" w:rsidRPr="00D13B67">
        <w:rPr>
          <w:rFonts w:eastAsia="Aptos"/>
        </w:rPr>
        <w:t xml:space="preserve"> generally</w:t>
      </w:r>
      <w:r w:rsidR="00685164" w:rsidRPr="00D13B67">
        <w:rPr>
          <w:rFonts w:eastAsia="Aptos"/>
        </w:rPr>
        <w:t xml:space="preserve"> not </w:t>
      </w:r>
      <w:r w:rsidR="00685164" w:rsidRPr="00D13B67">
        <w:rPr>
          <w:rFonts w:eastAsia="Aptos"/>
        </w:rPr>
        <w:lastRenderedPageBreak/>
        <w:t>informed of all the available accommodations</w:t>
      </w:r>
      <w:r w:rsidR="00805982" w:rsidRPr="00D13B67">
        <w:rPr>
          <w:rFonts w:eastAsia="Aptos"/>
        </w:rPr>
        <w:t>,</w:t>
      </w:r>
      <w:r w:rsidR="00685164" w:rsidRPr="00D13B67">
        <w:rPr>
          <w:rFonts w:eastAsia="Aptos"/>
        </w:rPr>
        <w:t xml:space="preserve"> </w:t>
      </w:r>
      <w:r w:rsidR="00805982" w:rsidRPr="00D13B67">
        <w:rPr>
          <w:rFonts w:eastAsia="Aptos"/>
        </w:rPr>
        <w:t>only</w:t>
      </w:r>
      <w:r w:rsidR="00685164" w:rsidRPr="00D13B67">
        <w:rPr>
          <w:rFonts w:eastAsia="Aptos"/>
        </w:rPr>
        <w:t xml:space="preserve"> given a narrow set of possible accommodations based on the functional limitations imposed by their disabilities</w:t>
      </w:r>
      <w:r w:rsidR="00DF078D" w:rsidRPr="00D13B67">
        <w:rPr>
          <w:rFonts w:eastAsia="Aptos"/>
        </w:rPr>
        <w:t xml:space="preserve">. </w:t>
      </w:r>
      <w:r w:rsidR="004F3BE9" w:rsidRPr="00D13B67">
        <w:rPr>
          <w:rFonts w:eastAsia="Aptos"/>
        </w:rPr>
        <w:t>A more student</w:t>
      </w:r>
      <w:r w:rsidR="00805982" w:rsidRPr="00D13B67">
        <w:rPr>
          <w:rFonts w:eastAsia="Aptos"/>
        </w:rPr>
        <w:t>-</w:t>
      </w:r>
      <w:r w:rsidR="004F3BE9" w:rsidRPr="00D13B67">
        <w:rPr>
          <w:rFonts w:eastAsia="Aptos"/>
        </w:rPr>
        <w:t xml:space="preserve">focused and impactful approach would be a “series of individualised support accommodations that take into account </w:t>
      </w:r>
      <w:r w:rsidR="003A2B95" w:rsidRPr="00D13B67">
        <w:rPr>
          <w:rFonts w:eastAsia="Aptos"/>
        </w:rPr>
        <w:t>[the student’s]</w:t>
      </w:r>
      <w:r w:rsidR="004F3BE9" w:rsidRPr="00D13B67">
        <w:rPr>
          <w:rFonts w:eastAsia="Aptos"/>
        </w:rPr>
        <w:t xml:space="preserve"> personal and emotional characteristics, as well as their own symptomatology due to the disorder” (Álvarez-</w:t>
      </w:r>
      <w:proofErr w:type="spellStart"/>
      <w:r w:rsidR="004F3BE9" w:rsidRPr="00D13B67">
        <w:rPr>
          <w:rFonts w:eastAsia="Aptos"/>
        </w:rPr>
        <w:t>Godos</w:t>
      </w:r>
      <w:proofErr w:type="spellEnd"/>
      <w:r w:rsidR="004F3BE9" w:rsidRPr="00D13B67">
        <w:rPr>
          <w:rFonts w:eastAsia="Aptos"/>
        </w:rPr>
        <w:t xml:space="preserve"> et al., 2023, p. 10). </w:t>
      </w:r>
      <w:r w:rsidR="00B223A5" w:rsidRPr="00D13B67">
        <w:rPr>
          <w:rFonts w:eastAsia="Aptos"/>
        </w:rPr>
        <w:t>Dolmage (2017) cites a student who</w:t>
      </w:r>
      <w:r w:rsidR="009344D5" w:rsidRPr="00D13B67">
        <w:rPr>
          <w:rFonts w:eastAsia="Aptos"/>
        </w:rPr>
        <w:t xml:space="preserve"> describ</w:t>
      </w:r>
      <w:r w:rsidR="00DF078D" w:rsidRPr="00D13B67">
        <w:rPr>
          <w:rFonts w:eastAsia="Aptos"/>
        </w:rPr>
        <w:t>ed</w:t>
      </w:r>
      <w:r w:rsidR="009344D5" w:rsidRPr="00D13B67">
        <w:rPr>
          <w:rFonts w:eastAsia="Aptos"/>
        </w:rPr>
        <w:t xml:space="preserve"> the accommodations process</w:t>
      </w:r>
      <w:r w:rsidR="003A2B95" w:rsidRPr="00D13B67">
        <w:rPr>
          <w:rFonts w:eastAsia="Aptos"/>
        </w:rPr>
        <w:t>:</w:t>
      </w:r>
    </w:p>
    <w:p w14:paraId="102E97EB" w14:textId="669F3735" w:rsidR="003A2B95" w:rsidRPr="00D13B67" w:rsidRDefault="009344D5" w:rsidP="003A2B95">
      <w:pPr>
        <w:pStyle w:val="Body"/>
        <w:ind w:left="709" w:firstLine="0"/>
        <w:rPr>
          <w:rFonts w:eastAsia="Aptos"/>
        </w:rPr>
      </w:pPr>
      <w:r w:rsidRPr="00D13B67">
        <w:rPr>
          <w:rFonts w:eastAsia="Aptos"/>
        </w:rPr>
        <w:t xml:space="preserve"> </w:t>
      </w:r>
      <w:r w:rsidR="002410E4" w:rsidRPr="00D13B67">
        <w:rPr>
          <w:rFonts w:eastAsia="Aptos"/>
        </w:rPr>
        <w:t>A</w:t>
      </w:r>
      <w:r w:rsidRPr="00D13B67">
        <w:rPr>
          <w:rFonts w:eastAsia="Aptos"/>
        </w:rPr>
        <w:t xml:space="preserve">s being like the game Battleship—you can’t perceive what’s on the other side of the board, because there is a barrier there, and so you </w:t>
      </w:r>
      <w:proofErr w:type="gramStart"/>
      <w:r w:rsidRPr="00D13B67">
        <w:rPr>
          <w:rFonts w:eastAsia="Aptos"/>
        </w:rPr>
        <w:t>have to</w:t>
      </w:r>
      <w:proofErr w:type="gramEnd"/>
      <w:r w:rsidRPr="00D13B67">
        <w:rPr>
          <w:rFonts w:eastAsia="Aptos"/>
        </w:rPr>
        <w:t xml:space="preserve"> just keep trying to guess where the other player’s ships are—or where the relevant accommodations are, if they exist. (p. 90) </w:t>
      </w:r>
    </w:p>
    <w:p w14:paraId="459DA7A5" w14:textId="37429AB1" w:rsidR="004D6E03" w:rsidRPr="00D13B67" w:rsidRDefault="00C825F4" w:rsidP="003A2B95">
      <w:pPr>
        <w:pStyle w:val="Body"/>
        <w:ind w:firstLine="0"/>
      </w:pPr>
      <w:r w:rsidRPr="00D13B67">
        <w:rPr>
          <w:rFonts w:eastAsia="Aptos"/>
        </w:rPr>
        <w:t xml:space="preserve">Dolmage argues that students are encouraged to graciously accept what they get with no opportunity for feedback about the fit or efficacy of an accommodation. </w:t>
      </w:r>
      <w:r w:rsidR="00685164" w:rsidRPr="00D13B67">
        <w:rPr>
          <w:rFonts w:eastAsia="Aptos"/>
        </w:rPr>
        <w:t>This universal approach to accommodations may be the only method many disability support offices have capacity to offer given the increased numbers of students with disabilities</w:t>
      </w:r>
      <w:r w:rsidR="009506EC" w:rsidRPr="00D13B67">
        <w:rPr>
          <w:rFonts w:eastAsia="Aptos"/>
        </w:rPr>
        <w:t xml:space="preserve"> and extremely high number of </w:t>
      </w:r>
      <w:r w:rsidR="00252B22" w:rsidRPr="00D13B67">
        <w:rPr>
          <w:rFonts w:eastAsia="Aptos"/>
        </w:rPr>
        <w:t xml:space="preserve">disabled students per disability support staff member </w:t>
      </w:r>
      <w:r w:rsidR="00252B22" w:rsidRPr="00D13B67">
        <w:t>(</w:t>
      </w:r>
      <w:proofErr w:type="spellStart"/>
      <w:r w:rsidR="005A1F51" w:rsidRPr="00D13B67">
        <w:t>Lewsen</w:t>
      </w:r>
      <w:proofErr w:type="spellEnd"/>
      <w:r w:rsidR="00252B22" w:rsidRPr="00D13B67">
        <w:t>, 2024; Beck Wells, 2025)</w:t>
      </w:r>
      <w:r w:rsidR="00685164" w:rsidRPr="00D13B67">
        <w:rPr>
          <w:rFonts w:eastAsia="Aptos"/>
        </w:rPr>
        <w:t xml:space="preserve">. </w:t>
      </w:r>
      <w:r w:rsidR="009344D5" w:rsidRPr="00D13B67">
        <w:t>As Dolmage describes</w:t>
      </w:r>
      <w:r w:rsidR="004C06CA" w:rsidRPr="00D13B67">
        <w:t>,</w:t>
      </w:r>
      <w:r w:rsidR="009344D5" w:rsidRPr="00D13B67">
        <w:t xml:space="preserve"> seeking accommodations “is to identify your needs within a framework in which everyone (from teachers to administrators to pundits) seems to know what college students need, and who they are, better than they do themselves” (Dolmage, 2017, p. 69). </w:t>
      </w:r>
      <w:r w:rsidR="00BA5565" w:rsidRPr="00D13B67">
        <w:rPr>
          <w:rFonts w:eastAsia="Aptos"/>
        </w:rPr>
        <w:t>Additionally, “uncanny accommodations” that may be well-intentioned but simply do not improve the student experience</w:t>
      </w:r>
      <w:r w:rsidR="008D5BD4" w:rsidRPr="00D13B67">
        <w:rPr>
          <w:rFonts w:eastAsia="Aptos"/>
        </w:rPr>
        <w:t>,</w:t>
      </w:r>
      <w:r w:rsidR="00BA5565" w:rsidRPr="00D13B67">
        <w:rPr>
          <w:rFonts w:eastAsia="Aptos"/>
        </w:rPr>
        <w:t xml:space="preserve"> are simply as waste of everyone’s time and resources (Ireland, 2017). </w:t>
      </w:r>
      <w:r w:rsidR="009344D5" w:rsidRPr="00D13B67">
        <w:t xml:space="preserve">The lack of student input on </w:t>
      </w:r>
      <w:r w:rsidR="009344D5" w:rsidRPr="00D13B67">
        <w:lastRenderedPageBreak/>
        <w:t>accommodation type and efficacy is important</w:t>
      </w:r>
      <w:r w:rsidR="00A643CD" w:rsidRPr="00D13B67">
        <w:t xml:space="preserve"> and while this study does not focus specifically on accommodations, increasing the </w:t>
      </w:r>
      <w:r w:rsidR="00316400" w:rsidRPr="00D13B67">
        <w:t>overall accessibility of digital learning material would reduce the number of accommodations and increase access for all students. Engaging disabled students in meaningful discussion about what digital formats work</w:t>
      </w:r>
      <w:r w:rsidR="00B4607D" w:rsidRPr="00D13B67">
        <w:t xml:space="preserve"> best </w:t>
      </w:r>
      <w:r w:rsidR="00316400" w:rsidRPr="00D13B67">
        <w:t>for them</w:t>
      </w:r>
      <w:r w:rsidR="009344D5" w:rsidRPr="00D13B67">
        <w:t xml:space="preserve"> </w:t>
      </w:r>
      <w:r w:rsidR="00B4607D" w:rsidRPr="00D13B67">
        <w:t xml:space="preserve">can also function as a model for </w:t>
      </w:r>
      <w:r w:rsidR="0083224C" w:rsidRPr="00D13B67">
        <w:t xml:space="preserve">future research focused on </w:t>
      </w:r>
      <w:r w:rsidR="00B4607D" w:rsidRPr="00D13B67">
        <w:t>soliciting disabled students’ feedback on what accommodations work best for them.</w:t>
      </w:r>
      <w:r w:rsidR="00C43CAB" w:rsidRPr="00D13B67">
        <w:t xml:space="preserve"> </w:t>
      </w:r>
      <w:r w:rsidR="00CD4529" w:rsidRPr="00D13B67">
        <w:t xml:space="preserve">Unfortunately, </w:t>
      </w:r>
      <w:r w:rsidR="000768DD" w:rsidRPr="00D13B67">
        <w:t xml:space="preserve">disabled </w:t>
      </w:r>
      <w:r w:rsidR="006D5A0A" w:rsidRPr="00D13B67">
        <w:t>students’</w:t>
      </w:r>
      <w:r w:rsidR="000768DD" w:rsidRPr="00D13B67">
        <w:t xml:space="preserve"> perspectives are often overlooked or ignored when it comes to making decisions about their education (</w:t>
      </w:r>
      <w:proofErr w:type="gramStart"/>
      <w:r w:rsidR="000768DD" w:rsidRPr="00D13B67">
        <w:t>May,</w:t>
      </w:r>
      <w:proofErr w:type="gramEnd"/>
      <w:r w:rsidR="000768DD" w:rsidRPr="00D13B67">
        <w:t xml:space="preserve"> 2024).</w:t>
      </w:r>
      <w:r w:rsidR="007F48F7" w:rsidRPr="00D13B67">
        <w:t xml:space="preserve"> Students are rarely considered by post-secondary education</w:t>
      </w:r>
      <w:r w:rsidR="00B12CCC" w:rsidRPr="00D13B67">
        <w:t xml:space="preserve"> </w:t>
      </w:r>
      <w:r w:rsidR="00DA4153" w:rsidRPr="00D13B67">
        <w:t>as knowledge holders and</w:t>
      </w:r>
      <w:r w:rsidR="00B12CCC" w:rsidRPr="00D13B67">
        <w:t xml:space="preserve"> legitimate source</w:t>
      </w:r>
      <w:r w:rsidR="00DA4153" w:rsidRPr="00D13B67">
        <w:t>s</w:t>
      </w:r>
      <w:r w:rsidR="00B12CCC" w:rsidRPr="00D13B67">
        <w:t xml:space="preserve"> of information to improve the student experience (Marom </w:t>
      </w:r>
      <w:r w:rsidR="00FD079B" w:rsidRPr="00D13B67">
        <w:t>&amp;</w:t>
      </w:r>
      <w:r w:rsidR="00B12CCC" w:rsidRPr="00D13B67">
        <w:t xml:space="preserve"> Hardwick, 2025).</w:t>
      </w:r>
      <w:r w:rsidR="00975E97" w:rsidRPr="00D13B67">
        <w:t xml:space="preserve"> Numerous studies </w:t>
      </w:r>
      <w:r w:rsidR="00BD19E5" w:rsidRPr="00D13B67">
        <w:t>explicitly call for the consultation and inclusion of disabled students in improving the accommodations system (Trybus et al., 2019</w:t>
      </w:r>
      <w:r w:rsidR="00FD079B" w:rsidRPr="00D13B67">
        <w:t xml:space="preserve">; </w:t>
      </w:r>
      <w:proofErr w:type="spellStart"/>
      <w:r w:rsidR="00FD079B" w:rsidRPr="00D13B67">
        <w:t>Alyass</w:t>
      </w:r>
      <w:proofErr w:type="spellEnd"/>
      <w:r w:rsidR="00FD079B" w:rsidRPr="00D13B67">
        <w:t xml:space="preserve">, 2024; </w:t>
      </w:r>
      <w:proofErr w:type="gramStart"/>
      <w:r w:rsidR="00FD079B" w:rsidRPr="00D13B67">
        <w:t>May,</w:t>
      </w:r>
      <w:proofErr w:type="gramEnd"/>
      <w:r w:rsidR="00FD079B" w:rsidRPr="00D13B67">
        <w:t xml:space="preserve"> 2024; Marom &amp; Hardwick, 2025).</w:t>
      </w:r>
      <w:r w:rsidR="000768DD" w:rsidRPr="00D13B67">
        <w:t xml:space="preserve"> </w:t>
      </w:r>
      <w:r w:rsidR="00C43CAB" w:rsidRPr="00D13B67">
        <w:t>People are the experts on their own lived experience.</w:t>
      </w:r>
    </w:p>
    <w:p w14:paraId="130899EC" w14:textId="60C9230E" w:rsidR="00333C16" w:rsidRPr="00D13B67" w:rsidRDefault="00A12644" w:rsidP="00F45BAE">
      <w:pPr>
        <w:pStyle w:val="Body"/>
      </w:pPr>
      <w:r w:rsidRPr="00D13B67">
        <w:t xml:space="preserve">Accommodations </w:t>
      </w:r>
      <w:r w:rsidR="00FD7FF5" w:rsidRPr="00D13B67">
        <w:t xml:space="preserve">seek to temporarily amend the status quo to </w:t>
      </w:r>
      <w:r w:rsidR="00FD7FF5" w:rsidRPr="00D13B67">
        <w:rPr>
          <w:i/>
          <w:iCs/>
        </w:rPr>
        <w:t>allow</w:t>
      </w:r>
      <w:r w:rsidR="00FD7FF5" w:rsidRPr="00D13B67">
        <w:t xml:space="preserve"> disabled students to participate</w:t>
      </w:r>
      <w:r w:rsidR="0015305F" w:rsidRPr="00D13B67">
        <w:t>; accommodations</w:t>
      </w:r>
      <w:r w:rsidR="00DE3276" w:rsidRPr="00D13B67">
        <w:t xml:space="preserve"> are a form of consumptive access</w:t>
      </w:r>
      <w:r w:rsidR="001335FC" w:rsidRPr="00D13B67">
        <w:t xml:space="preserve"> where a student is allowed </w:t>
      </w:r>
      <w:r w:rsidR="00852EC2" w:rsidRPr="00D13B67">
        <w:t>access on a narrow set of terms</w:t>
      </w:r>
      <w:r w:rsidR="00DE3276" w:rsidRPr="00D13B67">
        <w:t xml:space="preserve"> (</w:t>
      </w:r>
      <w:r w:rsidR="001335FC" w:rsidRPr="00D13B67">
        <w:t>Dolmage</w:t>
      </w:r>
      <w:r w:rsidR="00DE3276" w:rsidRPr="00D13B67">
        <w:t>, 201</w:t>
      </w:r>
      <w:r w:rsidR="001335FC" w:rsidRPr="00D13B67">
        <w:t>7</w:t>
      </w:r>
      <w:r w:rsidR="00DE3276" w:rsidRPr="00D13B67">
        <w:t>)</w:t>
      </w:r>
      <w:r w:rsidR="00FD7FF5" w:rsidRPr="00D13B67">
        <w:t>. Once accommodated</w:t>
      </w:r>
      <w:r w:rsidR="00F45BAE" w:rsidRPr="00D13B67">
        <w:t xml:space="preserve">, these </w:t>
      </w:r>
      <w:r w:rsidR="00852EC2" w:rsidRPr="00D13B67">
        <w:t>‘</w:t>
      </w:r>
      <w:r w:rsidR="00F45BAE" w:rsidRPr="00D13B67">
        <w:t>special cases</w:t>
      </w:r>
      <w:r w:rsidR="00852EC2" w:rsidRPr="00D13B67">
        <w:t>’</w:t>
      </w:r>
      <w:r w:rsidR="00F45BAE" w:rsidRPr="00D13B67">
        <w:t xml:space="preserve"> are filed away and repeated term by term, ensuring minimal access for disabled students and no significant change to the dominant practices, pedagogies, and prejudices of the academy. </w:t>
      </w:r>
      <w:r w:rsidR="00333C16" w:rsidRPr="00D13B67">
        <w:t>Accommodations are considered an expense</w:t>
      </w:r>
      <w:r w:rsidR="005753F1" w:rsidRPr="00D13B67">
        <w:t>, “an ad hoc process of retrofitting</w:t>
      </w:r>
      <w:r w:rsidR="00FC32D9" w:rsidRPr="00D13B67">
        <w:t>, repeated . . . for each individual student making a request” (</w:t>
      </w:r>
      <w:proofErr w:type="spellStart"/>
      <w:r w:rsidR="00FC32D9" w:rsidRPr="00D13B67">
        <w:t>Fovet</w:t>
      </w:r>
      <w:proofErr w:type="spellEnd"/>
      <w:r w:rsidR="00FC32D9" w:rsidRPr="00D13B67">
        <w:t xml:space="preserve"> </w:t>
      </w:r>
      <w:r w:rsidR="00114691" w:rsidRPr="00D13B67">
        <w:t>&amp;</w:t>
      </w:r>
      <w:r w:rsidR="00FC32D9" w:rsidRPr="00D13B67">
        <w:t xml:space="preserve"> Mole, 2013, p. 124).</w:t>
      </w:r>
      <w:r w:rsidR="00222BD4" w:rsidRPr="00D13B67">
        <w:t xml:space="preserve"> Accommodations are non-renewable</w:t>
      </w:r>
      <w:r w:rsidR="004B2217" w:rsidRPr="00D13B67">
        <w:t>,</w:t>
      </w:r>
      <w:r w:rsidR="00222BD4" w:rsidRPr="00D13B67">
        <w:t xml:space="preserve"> consumable costs that disabled students</w:t>
      </w:r>
      <w:r w:rsidR="00547845" w:rsidRPr="00D13B67">
        <w:t>, in the eyes of some,</w:t>
      </w:r>
      <w:r w:rsidR="00222BD4" w:rsidRPr="00D13B67">
        <w:t xml:space="preserve"> burden their chosen institutions with</w:t>
      </w:r>
      <w:r w:rsidR="00547845" w:rsidRPr="00D13B67">
        <w:t xml:space="preserve"> </w:t>
      </w:r>
      <w:r w:rsidR="00547845" w:rsidRPr="00D13B67">
        <w:lastRenderedPageBreak/>
        <w:t xml:space="preserve">(Dolmage, 2017; </w:t>
      </w:r>
      <w:proofErr w:type="spellStart"/>
      <w:r w:rsidR="00547845" w:rsidRPr="00D13B67">
        <w:t>Fichten</w:t>
      </w:r>
      <w:proofErr w:type="spellEnd"/>
      <w:r w:rsidR="00547845" w:rsidRPr="00D13B67">
        <w:t xml:space="preserve"> et al., 2022)</w:t>
      </w:r>
      <w:r w:rsidR="00222BD4" w:rsidRPr="00D13B67">
        <w:t>.</w:t>
      </w:r>
      <w:r w:rsidR="00547845" w:rsidRPr="00D13B67">
        <w:t xml:space="preserve"> The </w:t>
      </w:r>
      <w:r w:rsidR="00FB37A1" w:rsidRPr="00D13B67">
        <w:t xml:space="preserve">disposable, </w:t>
      </w:r>
      <w:r w:rsidR="00547845" w:rsidRPr="00D13B67">
        <w:t xml:space="preserve">retrofitted accommodation ensures </w:t>
      </w:r>
      <w:r w:rsidR="00743DC7" w:rsidRPr="00D13B67">
        <w:t>no lasting changes are made to standard operating procedures, pedagogy, or culture; like a game of Whack-a-Mole, just whack difference whenever it pops up (Do</w:t>
      </w:r>
      <w:r w:rsidR="00990899" w:rsidRPr="00D13B67">
        <w:t>l</w:t>
      </w:r>
      <w:r w:rsidR="00743DC7" w:rsidRPr="00D13B67">
        <w:t>mage, 2017, p. 91). This logic</w:t>
      </w:r>
      <w:r w:rsidR="00B223A5" w:rsidRPr="00D13B67">
        <w:t>, according to Dolmage,</w:t>
      </w:r>
      <w:r w:rsidR="00743DC7" w:rsidRPr="00D13B67">
        <w:t xml:space="preserve"> allows </w:t>
      </w:r>
      <w:r w:rsidR="00276515" w:rsidRPr="00D13B67">
        <w:t xml:space="preserve">singular, </w:t>
      </w:r>
      <w:r w:rsidR="00743DC7" w:rsidRPr="00D13B67">
        <w:t>slight modification for one student once</w:t>
      </w:r>
      <w:r w:rsidR="00026757" w:rsidRPr="00D13B67">
        <w:t xml:space="preserve"> without any pressure to </w:t>
      </w:r>
      <w:r w:rsidR="002D686A" w:rsidRPr="00D13B67">
        <w:t xml:space="preserve">change, </w:t>
      </w:r>
      <w:r w:rsidR="00026757" w:rsidRPr="00D13B67">
        <w:t>learn</w:t>
      </w:r>
      <w:r w:rsidR="002D686A" w:rsidRPr="00D13B67">
        <w:t>,</w:t>
      </w:r>
      <w:r w:rsidR="00026757" w:rsidRPr="00D13B67">
        <w:t xml:space="preserve"> </w:t>
      </w:r>
      <w:r w:rsidR="002D686A" w:rsidRPr="00D13B67">
        <w:t>or</w:t>
      </w:r>
      <w:r w:rsidR="00026757" w:rsidRPr="00D13B67">
        <w:t xml:space="preserve"> adapt from that modification</w:t>
      </w:r>
      <w:r w:rsidR="00027CB7" w:rsidRPr="00D13B67">
        <w:t xml:space="preserve"> to create more inclusive and pedagogically sound practice going forward. Much like a ramp added to the side of a building</w:t>
      </w:r>
      <w:r w:rsidR="00C814F2" w:rsidRPr="00D13B67">
        <w:t>, accommodations are added to the side of curriculum; as Dolmage notes “disability can never come in the front entrance” (</w:t>
      </w:r>
      <w:r w:rsidR="00802B20" w:rsidRPr="00D13B67">
        <w:t>p. 42</w:t>
      </w:r>
      <w:r w:rsidR="00C814F2" w:rsidRPr="00D13B67">
        <w:t>).</w:t>
      </w:r>
      <w:r w:rsidR="002A6F0B" w:rsidRPr="00D13B67">
        <w:t xml:space="preserve"> By emphasizing disposable accommodations, institutions minimize </w:t>
      </w:r>
      <w:r w:rsidR="00F54E1C" w:rsidRPr="00D13B67">
        <w:t>opportunities for expanding inclusive and diverse modes of learning while ensuring the bur</w:t>
      </w:r>
      <w:r w:rsidR="00482A4A" w:rsidRPr="00D13B67">
        <w:t>den of creating an inclusive educational experience sits with disabled students’ ability to self-advocate, understand their rights, and complete paperwork (</w:t>
      </w:r>
      <w:r w:rsidR="00482A4A" w:rsidRPr="00D13B67">
        <w:rPr>
          <w:rFonts w:ascii="Aptos" w:eastAsia="Aptos" w:hAnsi="Aptos" w:cs="Aptos"/>
        </w:rPr>
        <w:t xml:space="preserve">Bereza, 2019; </w:t>
      </w:r>
      <w:r w:rsidR="00482A4A" w:rsidRPr="00D13B67">
        <w:t xml:space="preserve">Bruce </w:t>
      </w:r>
      <w:r w:rsidR="00687A11" w:rsidRPr="00D13B67">
        <w:t>&amp;</w:t>
      </w:r>
      <w:r w:rsidR="00482A4A" w:rsidRPr="00D13B67">
        <w:t xml:space="preserve"> Aylward, 2021).</w:t>
      </w:r>
    </w:p>
    <w:p w14:paraId="0AD00188" w14:textId="1553CAAB" w:rsidR="00636B72" w:rsidRPr="00D13B67" w:rsidRDefault="00A816A2" w:rsidP="00F45BAE">
      <w:pPr>
        <w:pStyle w:val="Body"/>
      </w:pPr>
      <w:r w:rsidRPr="00D13B67">
        <w:t xml:space="preserve">However, the singular, disposable accommodation is not bespoke. </w:t>
      </w:r>
      <w:r w:rsidR="005565B6" w:rsidRPr="00D13B67">
        <w:t>As</w:t>
      </w:r>
      <w:r w:rsidRPr="00D13B67">
        <w:t xml:space="preserve"> students are </w:t>
      </w:r>
      <w:r w:rsidR="005565B6" w:rsidRPr="00D13B67">
        <w:t>not informed</w:t>
      </w:r>
      <w:r w:rsidRPr="00D13B67">
        <w:t xml:space="preserve"> of </w:t>
      </w:r>
      <w:r w:rsidR="005565B6" w:rsidRPr="00D13B67">
        <w:t xml:space="preserve">their </w:t>
      </w:r>
      <w:r w:rsidR="00BE4995" w:rsidRPr="00D13B67">
        <w:t>options,</w:t>
      </w:r>
      <w:r w:rsidRPr="00D13B67">
        <w:t xml:space="preserve"> accommodations</w:t>
      </w:r>
      <w:r w:rsidR="00563CB8" w:rsidRPr="00D13B67">
        <w:t xml:space="preserve"> are </w:t>
      </w:r>
      <w:r w:rsidR="00BE4995" w:rsidRPr="00D13B67">
        <w:t>rarely reviewed</w:t>
      </w:r>
      <w:r w:rsidR="00563CB8" w:rsidRPr="00D13B67">
        <w:t xml:space="preserve"> for </w:t>
      </w:r>
      <w:r w:rsidR="00377AAE" w:rsidRPr="00D13B67">
        <w:t xml:space="preserve">effectiveness </w:t>
      </w:r>
      <w:r w:rsidR="00BE4995" w:rsidRPr="00D13B67">
        <w:t xml:space="preserve">or fit, and accommodations do little to change the culture and practice of </w:t>
      </w:r>
      <w:r w:rsidR="00377AAE" w:rsidRPr="00D13B67">
        <w:t xml:space="preserve">an </w:t>
      </w:r>
      <w:r w:rsidR="00BE4995" w:rsidRPr="00D13B67">
        <w:t>institution</w:t>
      </w:r>
      <w:r w:rsidR="00556910" w:rsidRPr="00D13B67">
        <w:t xml:space="preserve">. </w:t>
      </w:r>
      <w:proofErr w:type="spellStart"/>
      <w:r w:rsidR="00556910" w:rsidRPr="00D13B67">
        <w:t>Alyas</w:t>
      </w:r>
      <w:r w:rsidR="00D42F6C" w:rsidRPr="00D13B67">
        <w:t>s</w:t>
      </w:r>
      <w:proofErr w:type="spellEnd"/>
      <w:r w:rsidR="00556910" w:rsidRPr="00D13B67">
        <w:t xml:space="preserve"> (2024)</w:t>
      </w:r>
      <w:r w:rsidR="00D42F6C" w:rsidRPr="00D13B67">
        <w:t xml:space="preserve"> argue</w:t>
      </w:r>
      <w:r w:rsidR="00556910" w:rsidRPr="00D13B67">
        <w:t>s</w:t>
      </w:r>
      <w:r w:rsidR="00D42F6C" w:rsidRPr="00D13B67">
        <w:t xml:space="preserve"> </w:t>
      </w:r>
      <w:r w:rsidR="00377AAE" w:rsidRPr="00D13B67">
        <w:t>that</w:t>
      </w:r>
      <w:r w:rsidR="008E02E4" w:rsidRPr="00D13B67">
        <w:t>:</w:t>
      </w:r>
      <w:r w:rsidR="00377AAE" w:rsidRPr="00D13B67">
        <w:t xml:space="preserve"> </w:t>
      </w:r>
    </w:p>
    <w:p w14:paraId="42E7B63B" w14:textId="7C19570D" w:rsidR="00636B72" w:rsidRPr="00D13B67" w:rsidRDefault="00377AAE" w:rsidP="00636B72">
      <w:pPr>
        <w:pStyle w:val="Body"/>
        <w:ind w:left="709" w:firstLine="0"/>
      </w:pPr>
      <w:r w:rsidRPr="00D13B67">
        <w:t>“</w:t>
      </w:r>
      <w:r w:rsidR="008E02E4" w:rsidRPr="00D13B67">
        <w:t>C</w:t>
      </w:r>
      <w:r w:rsidRPr="00D13B67">
        <w:t xml:space="preserve">urrent definitions of meaningful access and reasonable accommodations </w:t>
      </w:r>
      <w:r w:rsidRPr="00D13B67">
        <w:rPr>
          <w:i/>
        </w:rPr>
        <w:t>serve the institution</w:t>
      </w:r>
      <w:r w:rsidRPr="00D13B67">
        <w:t xml:space="preserve"> </w:t>
      </w:r>
      <w:r w:rsidR="00981BCD" w:rsidRPr="00D13B67">
        <w:t xml:space="preserve">[emphasis added] </w:t>
      </w:r>
      <w:r w:rsidRPr="00D13B67">
        <w:t>by taking power over students, controlling what accommodations they have access to, and determining the quality of education these students receive</w:t>
      </w:r>
      <w:r w:rsidR="00556910" w:rsidRPr="00D13B67">
        <w:t>.</w:t>
      </w:r>
      <w:r w:rsidRPr="00D13B67">
        <w:t xml:space="preserve">” </w:t>
      </w:r>
      <w:r w:rsidR="00636B72" w:rsidRPr="00D13B67">
        <w:t>(</w:t>
      </w:r>
      <w:r w:rsidRPr="00D13B67">
        <w:t>p. 60)</w:t>
      </w:r>
      <w:r w:rsidR="00347026" w:rsidRPr="00D13B67">
        <w:t xml:space="preserve"> </w:t>
      </w:r>
    </w:p>
    <w:p w14:paraId="61C81805" w14:textId="73550AF4" w:rsidR="00347026" w:rsidRPr="00D13B67" w:rsidRDefault="00347026" w:rsidP="00636B72">
      <w:pPr>
        <w:pStyle w:val="Body"/>
        <w:ind w:firstLine="0"/>
      </w:pPr>
      <w:r w:rsidRPr="00D13B67">
        <w:t xml:space="preserve">Given </w:t>
      </w:r>
      <w:r w:rsidR="00781C6F" w:rsidRPr="00D13B67">
        <w:t xml:space="preserve">that, it is reasonable to question if the current accommodation serves students or the institution. </w:t>
      </w:r>
      <w:r w:rsidR="00713D0F" w:rsidRPr="00D13B67">
        <w:t xml:space="preserve">Some argue that accommodation systems need to </w:t>
      </w:r>
      <w:r w:rsidR="00563C06" w:rsidRPr="00D13B67">
        <w:t>transform</w:t>
      </w:r>
      <w:r w:rsidR="00713D0F" w:rsidRPr="00D13B67">
        <w:t xml:space="preserve"> into equity </w:t>
      </w:r>
      <w:r w:rsidR="00713D0F" w:rsidRPr="00D13B67">
        <w:lastRenderedPageBreak/>
        <w:t xml:space="preserve">culture (Cook-Sather </w:t>
      </w:r>
      <w:r w:rsidR="00CD05C0" w:rsidRPr="00D13B67">
        <w:t>&amp;</w:t>
      </w:r>
      <w:r w:rsidR="00713D0F" w:rsidRPr="00D13B67">
        <w:t xml:space="preserve"> Cook-Sather</w:t>
      </w:r>
      <w:r w:rsidR="006D1F62" w:rsidRPr="00D13B67">
        <w:t>, 2023</w:t>
      </w:r>
      <w:r w:rsidR="00713D0F" w:rsidRPr="00D13B67">
        <w:t>)</w:t>
      </w:r>
      <w:r w:rsidR="00BB6C6F" w:rsidRPr="00D13B67">
        <w:t xml:space="preserve"> while others posit </w:t>
      </w:r>
      <w:r w:rsidR="00376AFE" w:rsidRPr="00D13B67">
        <w:t>that inequitable institutions, not disabled students, should be centred as the problems in need of fixing (</w:t>
      </w:r>
      <w:proofErr w:type="spellStart"/>
      <w:r w:rsidR="00376AFE" w:rsidRPr="00D13B67">
        <w:t>Titchkosky</w:t>
      </w:r>
      <w:proofErr w:type="spellEnd"/>
      <w:r w:rsidR="00376AFE" w:rsidRPr="00D13B67">
        <w:t xml:space="preserve"> &amp; Michalko, 2012). </w:t>
      </w:r>
      <w:r w:rsidR="00D929E7" w:rsidRPr="00D13B67">
        <w:t xml:space="preserve">Others </w:t>
      </w:r>
      <w:r w:rsidR="00336847" w:rsidRPr="00D13B67">
        <w:t>place</w:t>
      </w:r>
      <w:r w:rsidR="00D929E7" w:rsidRPr="00D13B67">
        <w:t xml:space="preserve"> accommodations in opposition to accessibility </w:t>
      </w:r>
      <w:r w:rsidR="009B78FA" w:rsidRPr="00D13B67">
        <w:t>as accommodations burden students and force disclosure while making little tangible improvement (Sheets, 2019).</w:t>
      </w:r>
      <w:r w:rsidR="00900686" w:rsidRPr="00D13B67">
        <w:t xml:space="preserve"> </w:t>
      </w:r>
      <w:r w:rsidR="000B0D4E" w:rsidRPr="00D13B67">
        <w:t>Each term a</w:t>
      </w:r>
      <w:r w:rsidR="00900686" w:rsidRPr="00D13B67">
        <w:t xml:space="preserve">ccommodations </w:t>
      </w:r>
      <w:r w:rsidR="00917CA7" w:rsidRPr="00D13B67">
        <w:t xml:space="preserve">temporarily, </w:t>
      </w:r>
      <w:r w:rsidR="000B0D4E" w:rsidRPr="00D13B67">
        <w:t xml:space="preserve">but </w:t>
      </w:r>
      <w:r w:rsidR="00917CA7" w:rsidRPr="00D13B67">
        <w:t xml:space="preserve">in </w:t>
      </w:r>
      <w:r w:rsidR="000B0D4E" w:rsidRPr="00D13B67">
        <w:t>perpetuity</w:t>
      </w:r>
      <w:r w:rsidR="0003266D" w:rsidRPr="00D13B67">
        <w:t xml:space="preserve"> (</w:t>
      </w:r>
      <w:r w:rsidR="00FD038E" w:rsidRPr="00D13B67">
        <w:t>via</w:t>
      </w:r>
      <w:r w:rsidR="000B0D4E" w:rsidRPr="00D13B67">
        <w:t xml:space="preserve"> their own </w:t>
      </w:r>
      <w:r w:rsidR="0003266D" w:rsidRPr="00D13B67">
        <w:t>isolated</w:t>
      </w:r>
      <w:r w:rsidR="000B0D4E" w:rsidRPr="00D13B67">
        <w:t xml:space="preserve"> implementation</w:t>
      </w:r>
      <w:r w:rsidR="0003266D" w:rsidRPr="00D13B67">
        <w:t>)</w:t>
      </w:r>
      <w:r w:rsidR="000B0D4E" w:rsidRPr="00D13B67">
        <w:t xml:space="preserve"> delay</w:t>
      </w:r>
      <w:r w:rsidR="00917CA7" w:rsidRPr="00D13B67">
        <w:t xml:space="preserve"> </w:t>
      </w:r>
      <w:r w:rsidR="000B0D4E" w:rsidRPr="00D13B67">
        <w:t>the creation and implementation of accessible content and experiences.</w:t>
      </w:r>
    </w:p>
    <w:p w14:paraId="2914A74E" w14:textId="6F2AFDAC" w:rsidR="0025178E" w:rsidRPr="00D13B67" w:rsidRDefault="0025178E" w:rsidP="0025178E">
      <w:pPr>
        <w:pStyle w:val="Heading5"/>
      </w:pPr>
      <w:r w:rsidRPr="00D13B67">
        <w:t xml:space="preserve">Accommodations and Accessibility </w:t>
      </w:r>
    </w:p>
    <w:p w14:paraId="570D7F43" w14:textId="00A770FE" w:rsidR="00205887" w:rsidRPr="00D13B67" w:rsidRDefault="009B78FA" w:rsidP="0080241A">
      <w:pPr>
        <w:pStyle w:val="Body"/>
      </w:pPr>
      <w:r w:rsidRPr="00D13B67">
        <w:t>If a greater amount of digital learning material were accessible, there would be significantly reduced numbers of accommodations.</w:t>
      </w:r>
      <w:r w:rsidR="00D12A16" w:rsidRPr="00D13B67">
        <w:t xml:space="preserve"> S</w:t>
      </w:r>
      <w:r w:rsidRPr="00D13B67">
        <w:t>tudents would not need to be accommodated in accessible digital space</w:t>
      </w:r>
      <w:r w:rsidR="004F5F61" w:rsidRPr="00D13B67">
        <w:t>s</w:t>
      </w:r>
      <w:r w:rsidRPr="00D13B67">
        <w:t>. Fewer accommodations would reduce administrative, time, and financial pressures on post-secondary institutions; mitigate faculty concerns regarding fairness; and create a vastly superior student experience by eliminating potential stigma, administrative burdens, and excess time and labour</w:t>
      </w:r>
      <w:r w:rsidR="004F5F61" w:rsidRPr="00D13B67">
        <w:t xml:space="preserve"> demanded of disabled students</w:t>
      </w:r>
      <w:r w:rsidRPr="00D13B67">
        <w:t xml:space="preserve">. Exploring the technical elements of digital accessibility and the specific formats that are most beneficial to students are keys to greater student access and success. It is difficult to envision a world so accessible there are no accommodations. However, </w:t>
      </w:r>
      <w:r w:rsidR="00C43855" w:rsidRPr="00D13B67">
        <w:t xml:space="preserve">inclusive design, particularly </w:t>
      </w:r>
      <w:r w:rsidR="000B511E" w:rsidRPr="00D13B67">
        <w:t>its</w:t>
      </w:r>
      <w:r w:rsidR="00C43855" w:rsidRPr="00D13B67">
        <w:t xml:space="preserve"> focus on the broader beneficial impact of design interventions, could better inform accommodation practice to create meaningful, lasting change as opposed to ad hoc, disposable accommodation. </w:t>
      </w:r>
      <w:r w:rsidR="00C1495E" w:rsidRPr="00D13B67">
        <w:t>Accommodations</w:t>
      </w:r>
      <w:r w:rsidR="001B54C9" w:rsidRPr="00D13B67">
        <w:t xml:space="preserve"> approached in this </w:t>
      </w:r>
      <w:r w:rsidR="00C1495E" w:rsidRPr="00D13B67">
        <w:t>manner</w:t>
      </w:r>
      <w:r w:rsidR="001B54C9" w:rsidRPr="00D13B67">
        <w:t xml:space="preserve"> could transform from an administrative burden into </w:t>
      </w:r>
      <w:r w:rsidR="004A433A" w:rsidRPr="00D13B67">
        <w:t>learning experience</w:t>
      </w:r>
      <w:r w:rsidR="00C1495E" w:rsidRPr="00D13B67">
        <w:t>s</w:t>
      </w:r>
      <w:r w:rsidR="004A433A" w:rsidRPr="00D13B67">
        <w:t xml:space="preserve"> that could be incorporated into </w:t>
      </w:r>
      <w:r w:rsidR="007C7330" w:rsidRPr="00D13B67">
        <w:t>curriculum going forward.</w:t>
      </w:r>
      <w:r w:rsidR="003F5BAC" w:rsidRPr="00D13B67">
        <w:t xml:space="preserve"> </w:t>
      </w:r>
      <w:r w:rsidR="003F5BAC" w:rsidRPr="00D13B67">
        <w:lastRenderedPageBreak/>
        <w:t xml:space="preserve">For example, </w:t>
      </w:r>
      <w:r w:rsidR="000B06F6" w:rsidRPr="00D13B67">
        <w:t>if a student is approved for alternate format textbooks (e.g., an accessible digital copy of course readings)</w:t>
      </w:r>
      <w:r w:rsidR="000E070C" w:rsidRPr="00D13B67">
        <w:t>,</w:t>
      </w:r>
      <w:r w:rsidR="00D820F5" w:rsidRPr="00D13B67">
        <w:t xml:space="preserve"> instead of </w:t>
      </w:r>
      <w:r w:rsidR="00627C32" w:rsidRPr="00D13B67">
        <w:t xml:space="preserve">repeatedly </w:t>
      </w:r>
      <w:r w:rsidR="00205887" w:rsidRPr="00D13B67">
        <w:t>requiring students to request an accessible copy and</w:t>
      </w:r>
      <w:r w:rsidR="00ED02F9" w:rsidRPr="00D13B67">
        <w:t>,</w:t>
      </w:r>
      <w:r w:rsidR="00205887" w:rsidRPr="00D13B67">
        <w:t xml:space="preserve"> if one does not exist</w:t>
      </w:r>
      <w:r w:rsidR="00ED02F9" w:rsidRPr="00D13B67">
        <w:t xml:space="preserve">, </w:t>
      </w:r>
      <w:r w:rsidR="00D820F5" w:rsidRPr="00D13B67">
        <w:t xml:space="preserve">offloading the process to a remediation service </w:t>
      </w:r>
      <w:r w:rsidR="00ED02F9" w:rsidRPr="00D13B67">
        <w:t>which</w:t>
      </w:r>
      <w:r w:rsidR="00D820F5" w:rsidRPr="00D13B67">
        <w:t xml:space="preserve"> delay</w:t>
      </w:r>
      <w:r w:rsidR="00ED02F9" w:rsidRPr="00D13B67">
        <w:t>s</w:t>
      </w:r>
      <w:r w:rsidR="00D820F5" w:rsidRPr="00D13B67">
        <w:t xml:space="preserve"> the student’s access to learning material, the instructor could seek out </w:t>
      </w:r>
      <w:r w:rsidR="00ED02F9" w:rsidRPr="00D13B67">
        <w:t xml:space="preserve">(via a librarian or publisher) </w:t>
      </w:r>
      <w:r w:rsidR="00D820F5" w:rsidRPr="00D13B67">
        <w:t xml:space="preserve">or create </w:t>
      </w:r>
      <w:r w:rsidR="004F5F61" w:rsidRPr="00D13B67">
        <w:t xml:space="preserve">(with open educational resources) </w:t>
      </w:r>
      <w:r w:rsidR="00D820F5" w:rsidRPr="00D13B67">
        <w:t>accessible digital versions</w:t>
      </w:r>
      <w:r w:rsidR="00014D5A" w:rsidRPr="00D13B67">
        <w:t xml:space="preserve">. </w:t>
      </w:r>
      <w:r w:rsidR="003F5BAC" w:rsidRPr="00D13B67">
        <w:t xml:space="preserve">This approach would avoid the repetitive whack-a-mole accommodation system that constantly </w:t>
      </w:r>
      <w:r w:rsidR="00D14D3F" w:rsidRPr="00D13B67">
        <w:t>addresses</w:t>
      </w:r>
      <w:r w:rsidR="003F5BAC" w:rsidRPr="00D13B67">
        <w:t xml:space="preserve"> the same issues in ways that satisfy few, if any, of the relevant parties.</w:t>
      </w:r>
      <w:r w:rsidR="00014D5A" w:rsidRPr="00D13B67">
        <w:t xml:space="preserve"> </w:t>
      </w:r>
      <w:r w:rsidR="00083518" w:rsidRPr="00D13B67">
        <w:t>Inclusive design can be employed to improve education in meaningful way</w:t>
      </w:r>
      <w:r w:rsidR="00893890" w:rsidRPr="00D13B67">
        <w:t>s. Of greatest concern to this work is the timely and equitable access to digital learning material that works for all students</w:t>
      </w:r>
      <w:r w:rsidR="00FB7F9E" w:rsidRPr="00D13B67">
        <w:t>, which once realize</w:t>
      </w:r>
      <w:r w:rsidR="00ED02F9" w:rsidRPr="00D13B67">
        <w:t>d</w:t>
      </w:r>
      <w:r w:rsidR="00FB7F9E" w:rsidRPr="00D13B67">
        <w:t xml:space="preserve"> will reduce the number of </w:t>
      </w:r>
      <w:r w:rsidR="00945A09" w:rsidRPr="00D13B67">
        <w:t>less-than-optimal</w:t>
      </w:r>
      <w:r w:rsidR="00FB7F9E" w:rsidRPr="00D13B67">
        <w:t xml:space="preserve"> accommodations.</w:t>
      </w:r>
      <w:r w:rsidR="00945A09" w:rsidRPr="00D13B67">
        <w:t xml:space="preserve"> </w:t>
      </w:r>
    </w:p>
    <w:p w14:paraId="2C10799A" w14:textId="7F5F011F" w:rsidR="00DB3F4C" w:rsidRPr="00D13B67" w:rsidRDefault="00945A09" w:rsidP="0080241A">
      <w:pPr>
        <w:pStyle w:val="Body"/>
      </w:pPr>
      <w:r w:rsidRPr="00D13B67">
        <w:t>Administrators, instructors, and students are not pleased with the accommodations system. Accessible digital learning material will not remove the need for all accommodations, but alleviate the strain on institutions, reduce the number of requests going to instructors, and increase student autonomy and reduce the ostracization forced upon students by having to ask to be allowed to participate.</w:t>
      </w:r>
    </w:p>
    <w:p w14:paraId="22035AA6" w14:textId="723E3087" w:rsidR="00C70C08" w:rsidRPr="00D13B67" w:rsidRDefault="0021522B" w:rsidP="0080241A">
      <w:pPr>
        <w:pStyle w:val="Heading4"/>
      </w:pPr>
      <w:bookmarkStart w:id="18" w:name="_Toc228867973"/>
      <w:r w:rsidRPr="00D13B67">
        <w:t>2.1.4 Digital Accessibility in Education</w:t>
      </w:r>
      <w:bookmarkEnd w:id="18"/>
    </w:p>
    <w:p w14:paraId="5399D875" w14:textId="7B36A658" w:rsidR="00241F1D" w:rsidRPr="00D13B67" w:rsidRDefault="004D0AB5" w:rsidP="0080241A">
      <w:pPr>
        <w:pStyle w:val="Body"/>
        <w:rPr>
          <w:rFonts w:eastAsia="Aptos"/>
        </w:rPr>
      </w:pPr>
      <w:r w:rsidRPr="00D13B67">
        <w:t xml:space="preserve">Accommodations are necessary where accessibility is missing. </w:t>
      </w:r>
      <w:r w:rsidRPr="00D13B67">
        <w:rPr>
          <w:rFonts w:eastAsia="Aptos"/>
        </w:rPr>
        <w:t>Those who choose and create digital learning material have an excellent opportunity to create more inclusive student experiences by ensuring content is accessible by design (Briggs et al., 2024).</w:t>
      </w:r>
      <w:r w:rsidR="009A2F51" w:rsidRPr="00D13B67">
        <w:rPr>
          <w:rFonts w:eastAsia="Aptos"/>
        </w:rPr>
        <w:t xml:space="preserve"> </w:t>
      </w:r>
      <w:r w:rsidRPr="00D13B67">
        <w:rPr>
          <w:rFonts w:eastAsia="Aptos"/>
        </w:rPr>
        <w:t xml:space="preserve">However, the persistence of inaccessible content suggests significant barriers to achieving </w:t>
      </w:r>
      <w:r w:rsidR="009A2F51" w:rsidRPr="00D13B67">
        <w:rPr>
          <w:rFonts w:eastAsia="Aptos"/>
        </w:rPr>
        <w:t>accessible and inclusive education</w:t>
      </w:r>
      <w:r w:rsidRPr="00D13B67">
        <w:rPr>
          <w:rFonts w:eastAsia="Aptos"/>
        </w:rPr>
        <w:t>.</w:t>
      </w:r>
      <w:r w:rsidR="00ED5F6E" w:rsidRPr="00D13B67">
        <w:rPr>
          <w:rFonts w:eastAsia="Aptos"/>
        </w:rPr>
        <w:t xml:space="preserve"> </w:t>
      </w:r>
      <w:r w:rsidR="00777B77" w:rsidRPr="00D13B67">
        <w:rPr>
          <w:rFonts w:eastAsia="Aptos"/>
        </w:rPr>
        <w:t xml:space="preserve">Kent (2016) </w:t>
      </w:r>
      <w:r w:rsidR="00490494" w:rsidRPr="00D13B67">
        <w:rPr>
          <w:rFonts w:eastAsia="Aptos"/>
        </w:rPr>
        <w:t xml:space="preserve">surveyed </w:t>
      </w:r>
      <w:r w:rsidR="00124C29" w:rsidRPr="00D13B67">
        <w:rPr>
          <w:rFonts w:eastAsia="Aptos"/>
        </w:rPr>
        <w:t xml:space="preserve">and interviewed hundreds of </w:t>
      </w:r>
      <w:r w:rsidR="00124C29" w:rsidRPr="00D13B67">
        <w:rPr>
          <w:rFonts w:eastAsia="Aptos"/>
        </w:rPr>
        <w:lastRenderedPageBreak/>
        <w:t>students across 15</w:t>
      </w:r>
      <w:r w:rsidR="00A26AE5" w:rsidRPr="00D13B67">
        <w:rPr>
          <w:rFonts w:eastAsia="Aptos"/>
        </w:rPr>
        <w:t xml:space="preserve"> Australian</w:t>
      </w:r>
      <w:r w:rsidR="00124C29" w:rsidRPr="00D13B67">
        <w:rPr>
          <w:rFonts w:eastAsia="Aptos"/>
        </w:rPr>
        <w:t xml:space="preserve"> institutions </w:t>
      </w:r>
      <w:r w:rsidR="00A26AE5" w:rsidRPr="00D13B67">
        <w:rPr>
          <w:rFonts w:eastAsia="Aptos"/>
        </w:rPr>
        <w:t xml:space="preserve">and found consistent </w:t>
      </w:r>
      <w:r w:rsidR="00EA2F5D" w:rsidRPr="00D13B67">
        <w:rPr>
          <w:rFonts w:eastAsia="Aptos"/>
        </w:rPr>
        <w:t xml:space="preserve">accessibility </w:t>
      </w:r>
      <w:r w:rsidR="00A26AE5" w:rsidRPr="00D13B67">
        <w:rPr>
          <w:rFonts w:eastAsia="Aptos"/>
        </w:rPr>
        <w:t xml:space="preserve">issues </w:t>
      </w:r>
      <w:r w:rsidR="00EA2F5D" w:rsidRPr="00D13B67">
        <w:rPr>
          <w:rFonts w:eastAsia="Aptos"/>
        </w:rPr>
        <w:t>including</w:t>
      </w:r>
      <w:r w:rsidR="00A26AE5" w:rsidRPr="00D13B67">
        <w:rPr>
          <w:rFonts w:eastAsia="Aptos"/>
        </w:rPr>
        <w:t xml:space="preserve"> selective availability of materials, </w:t>
      </w:r>
      <w:r w:rsidR="003A348D" w:rsidRPr="00D13B67">
        <w:rPr>
          <w:rFonts w:eastAsia="Aptos"/>
        </w:rPr>
        <w:t xml:space="preserve">variable content quality and readability, and the use of third-party products with </w:t>
      </w:r>
      <w:r w:rsidR="00EA2F5D" w:rsidRPr="00D13B67">
        <w:rPr>
          <w:rFonts w:eastAsia="Aptos"/>
        </w:rPr>
        <w:t>low accessibility</w:t>
      </w:r>
      <w:r w:rsidR="003A348D" w:rsidRPr="00D13B67">
        <w:rPr>
          <w:rFonts w:eastAsia="Aptos"/>
        </w:rPr>
        <w:t>.</w:t>
      </w:r>
      <w:r w:rsidR="004E3CCC" w:rsidRPr="00D13B67">
        <w:rPr>
          <w:rFonts w:eastAsia="Aptos"/>
        </w:rPr>
        <w:t xml:space="preserve"> Behling (201</w:t>
      </w:r>
      <w:r w:rsidR="00F65E8A" w:rsidRPr="00D13B67">
        <w:rPr>
          <w:rFonts w:eastAsia="Aptos"/>
        </w:rPr>
        <w:t>7</w:t>
      </w:r>
      <w:r w:rsidR="004E3CCC" w:rsidRPr="00D13B67">
        <w:rPr>
          <w:rFonts w:eastAsia="Aptos"/>
        </w:rPr>
        <w:t xml:space="preserve">) </w:t>
      </w:r>
      <w:r w:rsidR="00430694" w:rsidRPr="00D13B67">
        <w:rPr>
          <w:rFonts w:eastAsia="Aptos"/>
        </w:rPr>
        <w:t xml:space="preserve">found </w:t>
      </w:r>
      <w:r w:rsidR="001A4431" w:rsidRPr="00D13B67">
        <w:rPr>
          <w:rFonts w:eastAsia="Aptos"/>
        </w:rPr>
        <w:t>consistent</w:t>
      </w:r>
      <w:r w:rsidR="00430694" w:rsidRPr="00D13B67">
        <w:rPr>
          <w:rFonts w:eastAsia="Aptos"/>
        </w:rPr>
        <w:t xml:space="preserve"> issues with </w:t>
      </w:r>
      <w:r w:rsidR="00827D74" w:rsidRPr="00D13B67">
        <w:rPr>
          <w:rFonts w:eastAsia="Aptos"/>
        </w:rPr>
        <w:t xml:space="preserve">instructor-generated content, textbook publisher platforms and material, Word documents, PDFs, PowerPoints, and audio-visual material. </w:t>
      </w:r>
    </w:p>
    <w:p w14:paraId="7C5991E7" w14:textId="00FCA5B0" w:rsidR="00D20CB4" w:rsidRPr="00D13B67" w:rsidRDefault="004D0AB5" w:rsidP="0080241A">
      <w:pPr>
        <w:pStyle w:val="Body"/>
      </w:pPr>
      <w:r w:rsidRPr="00D13B67">
        <w:t xml:space="preserve">One of the most substantial barriers to creating accessible learning material is faculty </w:t>
      </w:r>
      <w:r w:rsidR="00AC47C0" w:rsidRPr="00D13B67">
        <w:t xml:space="preserve">awareness of, and </w:t>
      </w:r>
      <w:r w:rsidRPr="00D13B67">
        <w:t>attitudes toward</w:t>
      </w:r>
      <w:r w:rsidR="00AC47C0" w:rsidRPr="00D13B67">
        <w:t>,</w:t>
      </w:r>
      <w:r w:rsidRPr="00D13B67">
        <w:t xml:space="preserve"> digital accessibility. Briggs et al. (2024) note that even when faculty consider accessibility as an important piece of course design, they also report hesitancy due to a lack of time, willingness, motivation, and ability to create and choose accessible material.</w:t>
      </w:r>
      <w:r w:rsidR="00F83608" w:rsidRPr="00D13B67">
        <w:t xml:space="preserve"> </w:t>
      </w:r>
      <w:r w:rsidR="00517B4E" w:rsidRPr="00D13B67">
        <w:t>Guilba</w:t>
      </w:r>
      <w:r w:rsidR="00214AF7" w:rsidRPr="00D13B67">
        <w:t>u</w:t>
      </w:r>
      <w:r w:rsidR="00517B4E" w:rsidRPr="00D13B67">
        <w:t xml:space="preserve">d et al. (2021) and </w:t>
      </w:r>
      <w:r w:rsidR="00F83608" w:rsidRPr="00D13B67">
        <w:t>Read (2024) found</w:t>
      </w:r>
      <w:r w:rsidR="00A326BA" w:rsidRPr="00D13B67">
        <w:t xml:space="preserve"> employees’</w:t>
      </w:r>
      <w:r w:rsidR="00F83608" w:rsidRPr="00D13B67">
        <w:t xml:space="preserve"> </w:t>
      </w:r>
      <w:r w:rsidR="00517B4E" w:rsidRPr="00D13B67">
        <w:t xml:space="preserve">schedules and </w:t>
      </w:r>
      <w:r w:rsidR="00A326BA" w:rsidRPr="00D13B67">
        <w:t>existing heavy workloads made additional professional development difficult to manage and schedule.</w:t>
      </w:r>
      <w:r w:rsidRPr="00D13B67">
        <w:t xml:space="preserve"> </w:t>
      </w:r>
      <w:r w:rsidR="00517B4E" w:rsidRPr="00D13B67">
        <w:t>Read also</w:t>
      </w:r>
      <w:r w:rsidRPr="00D13B67">
        <w:t xml:space="preserve"> noted that some faculty believe their course material is not compatible with accessibility requirements. This </w:t>
      </w:r>
      <w:r w:rsidR="000A1302" w:rsidRPr="00D13B67">
        <w:t>belief</w:t>
      </w:r>
      <w:r w:rsidRPr="00D13B67">
        <w:t xml:space="preserve"> could be intimately tied with a lack of understanding about how to create accessible content</w:t>
      </w:r>
      <w:r w:rsidR="000A1302" w:rsidRPr="00D13B67">
        <w:t xml:space="preserve">. </w:t>
      </w:r>
      <w:r w:rsidR="00B33BE2" w:rsidRPr="00D13B67">
        <w:t>A</w:t>
      </w:r>
      <w:r w:rsidR="00941170" w:rsidRPr="00D13B67">
        <w:t xml:space="preserve">cademic ableism may also influence </w:t>
      </w:r>
      <w:r w:rsidR="00FF64EF" w:rsidRPr="00D13B67">
        <w:t>this preconception.</w:t>
      </w:r>
      <w:r w:rsidR="00D20CB4" w:rsidRPr="00D13B67">
        <w:t xml:space="preserve"> Other work notes how a</w:t>
      </w:r>
      <w:r w:rsidRPr="00D13B67">
        <w:t xml:space="preserve"> lack of understanding about how assistive technology works, what makes content accessible, and how to make accessible content restrict</w:t>
      </w:r>
      <w:r w:rsidR="0018297B" w:rsidRPr="00D13B67">
        <w:t>s</w:t>
      </w:r>
      <w:r w:rsidRPr="00D13B67">
        <w:t xml:space="preserve"> post-secondary employees from choosing and creating accessible content (Sanderson et al., 2022; Walz, 2024). </w:t>
      </w:r>
    </w:p>
    <w:p w14:paraId="5C63223A" w14:textId="7E226C94" w:rsidR="008E7B63" w:rsidRPr="00D13B67" w:rsidRDefault="004D0AB5" w:rsidP="0080241A">
      <w:pPr>
        <w:pStyle w:val="Body"/>
        <w:rPr>
          <w:rFonts w:ascii="Aptos" w:eastAsia="Aptos" w:hAnsi="Aptos" w:cs="Aptos"/>
        </w:rPr>
      </w:pPr>
      <w:r w:rsidRPr="00D13B67">
        <w:t>Perhaps due to prior experiences with remediations, accommodations, and modifications some faculty view accessibility as a reactive practice rather than a proactive operation and do not understand their role in crafting accessible learning experience</w:t>
      </w:r>
      <w:r w:rsidR="00500E95" w:rsidRPr="00D13B67">
        <w:t>s</w:t>
      </w:r>
      <w:r w:rsidRPr="00D13B67">
        <w:t xml:space="preserve"> that </w:t>
      </w:r>
      <w:r w:rsidR="00500E95" w:rsidRPr="00D13B67">
        <w:t>could</w:t>
      </w:r>
      <w:r w:rsidRPr="00D13B67">
        <w:t xml:space="preserve"> reduce reliance on prior reactive</w:t>
      </w:r>
      <w:r w:rsidRPr="00D13B67">
        <w:rPr>
          <w:rFonts w:eastAsia="Aptos"/>
        </w:rPr>
        <w:t xml:space="preserve"> </w:t>
      </w:r>
      <w:r w:rsidR="00500E95" w:rsidRPr="00D13B67">
        <w:rPr>
          <w:rFonts w:eastAsia="Aptos"/>
        </w:rPr>
        <w:t>accommodations</w:t>
      </w:r>
      <w:r w:rsidRPr="00D13B67">
        <w:rPr>
          <w:rFonts w:ascii="Aptos" w:eastAsia="Aptos" w:hAnsi="Aptos" w:cs="Aptos"/>
        </w:rPr>
        <w:t xml:space="preserve"> (Briggs et al., 2024).</w:t>
      </w:r>
      <w:r w:rsidR="008E7B63" w:rsidRPr="00D13B67">
        <w:rPr>
          <w:rFonts w:ascii="Aptos" w:eastAsia="Aptos" w:hAnsi="Aptos" w:cs="Aptos"/>
        </w:rPr>
        <w:t xml:space="preserve"> </w:t>
      </w:r>
      <w:r w:rsidR="006A34B1" w:rsidRPr="00D13B67">
        <w:rPr>
          <w:rFonts w:ascii="Aptos" w:eastAsia="Aptos" w:hAnsi="Aptos" w:cs="Aptos"/>
        </w:rPr>
        <w:t xml:space="preserve">However, </w:t>
      </w:r>
      <w:r w:rsidR="006A34B1" w:rsidRPr="00D13B67">
        <w:rPr>
          <w:rFonts w:ascii="Aptos" w:eastAsia="Aptos" w:hAnsi="Aptos" w:cs="Aptos"/>
        </w:rPr>
        <w:lastRenderedPageBreak/>
        <w:t xml:space="preserve">Dolmage (2017) argues that accommodations are </w:t>
      </w:r>
      <w:r w:rsidR="00081B6A" w:rsidRPr="00D13B67">
        <w:rPr>
          <w:rFonts w:ascii="Aptos" w:eastAsia="Aptos" w:hAnsi="Aptos" w:cs="Aptos"/>
        </w:rPr>
        <w:t>necessary because post-secondary as a sector is “nowhere close” to offering inclusive and accessible experiences (</w:t>
      </w:r>
      <w:r w:rsidR="00B91601" w:rsidRPr="00D13B67">
        <w:rPr>
          <w:rFonts w:ascii="Aptos" w:eastAsia="Aptos" w:hAnsi="Aptos" w:cs="Aptos"/>
        </w:rPr>
        <w:t xml:space="preserve">p. 144). </w:t>
      </w:r>
      <w:r w:rsidR="00851AF5" w:rsidRPr="00D13B67">
        <w:rPr>
          <w:rFonts w:ascii="Aptos" w:eastAsia="Aptos" w:hAnsi="Aptos" w:cs="Aptos"/>
        </w:rPr>
        <w:t xml:space="preserve">Advocating for more accessibility does not mean less support for disabled students. </w:t>
      </w:r>
      <w:r w:rsidR="000D1EFE" w:rsidRPr="00D13B67">
        <w:rPr>
          <w:rFonts w:ascii="Aptos" w:eastAsia="Aptos" w:hAnsi="Aptos" w:cs="Aptos"/>
        </w:rPr>
        <w:t xml:space="preserve">More accessible content would help </w:t>
      </w:r>
      <w:r w:rsidR="0024700E" w:rsidRPr="00D13B67">
        <w:rPr>
          <w:rFonts w:ascii="Aptos" w:eastAsia="Aptos" w:hAnsi="Aptos" w:cs="Aptos"/>
        </w:rPr>
        <w:t>most</w:t>
      </w:r>
      <w:r w:rsidR="000D1EFE" w:rsidRPr="00D13B67">
        <w:rPr>
          <w:rFonts w:ascii="Aptos" w:eastAsia="Aptos" w:hAnsi="Aptos" w:cs="Aptos"/>
        </w:rPr>
        <w:t xml:space="preserve"> disabled students access the content they need at the same time as their peers. This would reduce the need for remediation</w:t>
      </w:r>
      <w:r w:rsidR="0024700E" w:rsidRPr="00D13B67">
        <w:rPr>
          <w:rFonts w:ascii="Aptos" w:eastAsia="Aptos" w:hAnsi="Aptos" w:cs="Aptos"/>
        </w:rPr>
        <w:t xml:space="preserve"> (and associated time and bureaucracy) allowing disability support services to focus on more complex and labour-intensive tasks.</w:t>
      </w:r>
    </w:p>
    <w:p w14:paraId="6483A2BA" w14:textId="0421662C" w:rsidR="008E7B63" w:rsidRPr="00D13B67" w:rsidRDefault="004D0AB5" w:rsidP="0080241A">
      <w:pPr>
        <w:pStyle w:val="Body"/>
        <w:rPr>
          <w:rStyle w:val="citation-item"/>
        </w:rPr>
      </w:pPr>
      <w:r w:rsidRPr="00D13B67">
        <w:t xml:space="preserve">Sciarretta (2025) notes a lack of awareness about the legal aspects of accessibility, including the responsibility of faculty, staff, and those that create educational web content and applications. Others argue that even an organization that adheres to basic legal requirements may not provide accessible experiences for students </w:t>
      </w:r>
      <w:r w:rsidR="002B2969" w:rsidRPr="00D13B67">
        <w:t xml:space="preserve">especially when enforcement is not consistent </w:t>
      </w:r>
      <w:r w:rsidRPr="00D13B67">
        <w:t xml:space="preserve">(Sanderson et al., 2022; Briggs et al., 2024; </w:t>
      </w:r>
      <w:proofErr w:type="spellStart"/>
      <w:r w:rsidRPr="00D13B67">
        <w:rPr>
          <w:rStyle w:val="citation-item"/>
        </w:rPr>
        <w:t>Żuchowska</w:t>
      </w:r>
      <w:proofErr w:type="spellEnd"/>
      <w:r w:rsidRPr="00D13B67">
        <w:rPr>
          <w:rStyle w:val="citation-item"/>
        </w:rPr>
        <w:t>-Skiba, 2024).</w:t>
      </w:r>
    </w:p>
    <w:p w14:paraId="3CEAC875" w14:textId="7148331D" w:rsidR="005118DD" w:rsidRPr="00D13B67" w:rsidRDefault="004D0AB5" w:rsidP="0080241A">
      <w:pPr>
        <w:pStyle w:val="Body"/>
      </w:pPr>
      <w:r w:rsidRPr="00D13B67">
        <w:t xml:space="preserve">Numerous studies note that lack of training has a significant impact on accessibility (Sanderson et al., 2022; </w:t>
      </w:r>
      <w:r w:rsidRPr="00D13B67">
        <w:rPr>
          <w:rStyle w:val="citation-item"/>
        </w:rPr>
        <w:t xml:space="preserve">Briggs et al., 2024; Walz, 2024). </w:t>
      </w:r>
      <w:r w:rsidRPr="00D13B67">
        <w:t>While professional development training for post-secondary employees has a positive impact on accessibility best practices, there are significant barriers to consistent and effective training (</w:t>
      </w:r>
      <w:r w:rsidRPr="00D13B67">
        <w:rPr>
          <w:rStyle w:val="citation-item"/>
        </w:rPr>
        <w:t xml:space="preserve">Guilbaud et al., 2021). In addition to the attitudes discussed above, other impediments to training may include difficulties presented by the rapid changes to technology, software, and platforms </w:t>
      </w:r>
      <w:r w:rsidRPr="00D13B67">
        <w:rPr>
          <w:rStyle w:val="citation"/>
        </w:rPr>
        <w:t>(</w:t>
      </w:r>
      <w:proofErr w:type="spellStart"/>
      <w:r w:rsidRPr="00D13B67">
        <w:rPr>
          <w:rStyle w:val="citation-item"/>
        </w:rPr>
        <w:t>Żuchowska</w:t>
      </w:r>
      <w:proofErr w:type="spellEnd"/>
      <w:r w:rsidRPr="00D13B67">
        <w:rPr>
          <w:rStyle w:val="citation-item"/>
        </w:rPr>
        <w:t>-Skiba, 2024).</w:t>
      </w:r>
      <w:r w:rsidRPr="00D13B67">
        <w:t xml:space="preserve"> </w:t>
      </w:r>
    </w:p>
    <w:p w14:paraId="7E596224" w14:textId="19B52E88" w:rsidR="004D0AB5" w:rsidRPr="00D13B67" w:rsidRDefault="005118DD" w:rsidP="0080241A">
      <w:pPr>
        <w:pStyle w:val="Body"/>
      </w:pPr>
      <w:r w:rsidRPr="00D13B67">
        <w:t xml:space="preserve">Finally, </w:t>
      </w:r>
      <w:r w:rsidRPr="00D13B67">
        <w:rPr>
          <w:rFonts w:eastAsia="Aptos"/>
        </w:rPr>
        <w:t>t</w:t>
      </w:r>
      <w:r w:rsidR="004D0AB5" w:rsidRPr="00D13B67">
        <w:rPr>
          <w:rFonts w:eastAsia="Aptos"/>
        </w:rPr>
        <w:t>he decentralization of post-secondary institutions</w:t>
      </w:r>
      <w:r w:rsidR="000F2438" w:rsidRPr="00D13B67">
        <w:rPr>
          <w:rFonts w:eastAsia="Aptos"/>
        </w:rPr>
        <w:t>—</w:t>
      </w:r>
      <w:r w:rsidR="004D0AB5" w:rsidRPr="00D13B67">
        <w:rPr>
          <w:rFonts w:eastAsia="Aptos"/>
        </w:rPr>
        <w:t>including within departments and divisions</w:t>
      </w:r>
      <w:r w:rsidR="000F2438" w:rsidRPr="00D13B67">
        <w:rPr>
          <w:rFonts w:eastAsia="Aptos"/>
        </w:rPr>
        <w:t>—</w:t>
      </w:r>
      <w:r w:rsidR="004D0AB5" w:rsidRPr="00D13B67">
        <w:rPr>
          <w:rFonts w:eastAsia="Aptos"/>
        </w:rPr>
        <w:t xml:space="preserve">may make management of digital accessibility more difficult, </w:t>
      </w:r>
      <w:r w:rsidR="004D0AB5" w:rsidRPr="00D13B67">
        <w:rPr>
          <w:rFonts w:eastAsia="Aptos"/>
        </w:rPr>
        <w:lastRenderedPageBreak/>
        <w:t>contributing to persistent inaccessible content (Walz, 2024). Briggs et al. (2024) note that some faculty may consider accessibility the responsibility of the institution. Even when accessibility is a priority for institutions, financial and temporal constraints may make significant improvements to accessibility difficult to realize</w:t>
      </w:r>
      <w:r w:rsidR="004D0AB5" w:rsidRPr="00D13B67">
        <w:t xml:space="preserve"> </w:t>
      </w:r>
      <w:r w:rsidR="004D0AB5" w:rsidRPr="00D13B67">
        <w:rPr>
          <w:rStyle w:val="citation"/>
        </w:rPr>
        <w:t>(</w:t>
      </w:r>
      <w:proofErr w:type="spellStart"/>
      <w:r w:rsidR="004D0AB5" w:rsidRPr="00D13B67">
        <w:rPr>
          <w:rStyle w:val="citation-item"/>
        </w:rPr>
        <w:t>Żuchowska</w:t>
      </w:r>
      <w:proofErr w:type="spellEnd"/>
      <w:r w:rsidR="004D0AB5" w:rsidRPr="00D13B67">
        <w:rPr>
          <w:rStyle w:val="citation-item"/>
        </w:rPr>
        <w:t>-Skiba, 2024).</w:t>
      </w:r>
      <w:r w:rsidR="00814818" w:rsidRPr="00D13B67">
        <w:rPr>
          <w:rStyle w:val="citation-item"/>
        </w:rPr>
        <w:t xml:space="preserve"> Regardless of awareness, perceptions</w:t>
      </w:r>
      <w:r w:rsidR="006B13E7" w:rsidRPr="00D13B67">
        <w:rPr>
          <w:rStyle w:val="citation-item"/>
        </w:rPr>
        <w:t>, or questions of responsibility</w:t>
      </w:r>
      <w:r w:rsidR="00245308" w:rsidRPr="00D13B67">
        <w:rPr>
          <w:rStyle w:val="citation-item"/>
        </w:rPr>
        <w:t>,</w:t>
      </w:r>
      <w:r w:rsidR="006B13E7" w:rsidRPr="00D13B67">
        <w:rPr>
          <w:rStyle w:val="citation-item"/>
        </w:rPr>
        <w:t xml:space="preserve"> many students face significant barriers to access. Currently, those barriers </w:t>
      </w:r>
      <w:r w:rsidR="00245308" w:rsidRPr="00D13B67">
        <w:rPr>
          <w:rStyle w:val="citation-item"/>
        </w:rPr>
        <w:t>may be</w:t>
      </w:r>
      <w:r w:rsidR="006B13E7" w:rsidRPr="00D13B67">
        <w:rPr>
          <w:rStyle w:val="citation-item"/>
        </w:rPr>
        <w:t xml:space="preserve"> mitigated by accommodations. Accessible learning material would enhance inclusion and reduce the number of accommodations needed.</w:t>
      </w:r>
    </w:p>
    <w:p w14:paraId="2E5611AC" w14:textId="64902679" w:rsidR="002D4CE6" w:rsidRPr="00D13B67" w:rsidRDefault="0086121E" w:rsidP="002D4CE6">
      <w:pPr>
        <w:pStyle w:val="Heading3"/>
      </w:pPr>
      <w:bookmarkStart w:id="19" w:name="_Toc228867974"/>
      <w:r w:rsidRPr="00D13B67">
        <w:t>2.2</w:t>
      </w:r>
      <w:r w:rsidR="002D4CE6" w:rsidRPr="00D13B67">
        <w:t xml:space="preserve"> Disability Theory</w:t>
      </w:r>
      <w:bookmarkEnd w:id="19"/>
    </w:p>
    <w:p w14:paraId="7EF4C4D4" w14:textId="233613F1" w:rsidR="001C2695" w:rsidRPr="00D13B67" w:rsidRDefault="571E0056" w:rsidP="0080241A">
      <w:pPr>
        <w:pStyle w:val="Body"/>
      </w:pPr>
      <w:r w:rsidRPr="00D13B67">
        <w:t xml:space="preserve">A significant factor in the perception and study of disability is ableism. Simply, ableism is oppression </w:t>
      </w:r>
      <w:r w:rsidR="00C343DC" w:rsidRPr="00D13B67">
        <w:t>of</w:t>
      </w:r>
      <w:r w:rsidR="00015176" w:rsidRPr="00D13B67">
        <w:t>,</w:t>
      </w:r>
      <w:r w:rsidR="00C343DC" w:rsidRPr="00D13B67">
        <w:t xml:space="preserve"> and prejudice </w:t>
      </w:r>
      <w:r w:rsidRPr="00D13B67">
        <w:t>against</w:t>
      </w:r>
      <w:r w:rsidR="00015176" w:rsidRPr="00D13B67">
        <w:t>,</w:t>
      </w:r>
      <w:r w:rsidRPr="00D13B67">
        <w:t xml:space="preserve"> disabled people.</w:t>
      </w:r>
      <w:r w:rsidR="0009CA90" w:rsidRPr="00D13B67">
        <w:t xml:space="preserve"> Ableism operates on the assumption that </w:t>
      </w:r>
      <w:r w:rsidR="00A6669F" w:rsidRPr="00D13B67">
        <w:t>one way of being is ‘normal’</w:t>
      </w:r>
      <w:r w:rsidR="0009CA90" w:rsidRPr="00D13B67">
        <w:t xml:space="preserve"> and disabled people, through difference, are inferior (Trybus et al., 2019).</w:t>
      </w:r>
      <w:r w:rsidR="07E8D464" w:rsidRPr="00D13B67">
        <w:t xml:space="preserve"> </w:t>
      </w:r>
      <w:r w:rsidR="2E042BDA" w:rsidRPr="00D13B67">
        <w:t>A</w:t>
      </w:r>
      <w:r w:rsidR="0E3E8257" w:rsidRPr="00D13B67">
        <w:t>bleism insists that a</w:t>
      </w:r>
      <w:r w:rsidR="2E042BDA" w:rsidRPr="00D13B67">
        <w:t xml:space="preserve">nyone existing outside the socially constructed norms of intelligence, productivity, or physical </w:t>
      </w:r>
      <w:r w:rsidR="00886765" w:rsidRPr="00D13B67">
        <w:t>ideal</w:t>
      </w:r>
      <w:r w:rsidR="2E042BDA" w:rsidRPr="00D13B67">
        <w:t xml:space="preserve"> is not able, and therefore inferior (Shew, 2023</w:t>
      </w:r>
      <w:r w:rsidR="612714DA" w:rsidRPr="00D13B67">
        <w:t xml:space="preserve">). </w:t>
      </w:r>
      <w:r w:rsidR="5A14A517" w:rsidRPr="00D13B67">
        <w:t>Ableism operates</w:t>
      </w:r>
      <w:r w:rsidR="7679DC8A" w:rsidRPr="00D13B67">
        <w:t xml:space="preserve"> on the assump</w:t>
      </w:r>
      <w:r w:rsidR="2D35A376" w:rsidRPr="00D13B67">
        <w:t>tion that able-bodied and disabled are oppositional</w:t>
      </w:r>
      <w:r w:rsidR="002D4CE6" w:rsidRPr="00D13B67">
        <w:t xml:space="preserve"> states of being</w:t>
      </w:r>
      <w:r w:rsidR="676107DC" w:rsidRPr="00D13B67">
        <w:t xml:space="preserve">, whereas disability advocates note that </w:t>
      </w:r>
      <w:r w:rsidR="33A78240" w:rsidRPr="00D13B67">
        <w:t xml:space="preserve">disabled people </w:t>
      </w:r>
      <w:r w:rsidR="00015176" w:rsidRPr="00D13B67">
        <w:t>may</w:t>
      </w:r>
      <w:r w:rsidR="003A3238" w:rsidRPr="00D13B67">
        <w:t xml:space="preserve"> be</w:t>
      </w:r>
      <w:r w:rsidR="1CF0E173" w:rsidRPr="00D13B67">
        <w:t xml:space="preserve"> disabled and able-bodied simultaneously</w:t>
      </w:r>
      <w:r w:rsidR="3C467D65" w:rsidRPr="00D13B67">
        <w:t xml:space="preserve"> depending on context</w:t>
      </w:r>
      <w:r w:rsidR="00441AFF" w:rsidRPr="00D13B67">
        <w:t>, condition,</w:t>
      </w:r>
      <w:r w:rsidR="3C467D65" w:rsidRPr="00D13B67">
        <w:t xml:space="preserve"> and </w:t>
      </w:r>
      <w:r w:rsidR="00441AFF" w:rsidRPr="00D13B67">
        <w:t>environment</w:t>
      </w:r>
      <w:r w:rsidR="3C467D65" w:rsidRPr="00D13B67">
        <w:t xml:space="preserve"> (Withers, 2012). Additionally, </w:t>
      </w:r>
      <w:r w:rsidR="09ADBDD8" w:rsidRPr="00D13B67">
        <w:t xml:space="preserve">ableism ignores the reality that non-disabled people are only </w:t>
      </w:r>
      <w:r w:rsidR="72DF000C" w:rsidRPr="00D13B67">
        <w:t>“</w:t>
      </w:r>
      <w:r w:rsidR="09ADBDD8" w:rsidRPr="00D13B67">
        <w:t>temporarily able</w:t>
      </w:r>
      <w:r w:rsidR="224D8A9A" w:rsidRPr="00D13B67">
        <w:t>-</w:t>
      </w:r>
      <w:r w:rsidR="09ADBDD8" w:rsidRPr="00D13B67">
        <w:t>bodied</w:t>
      </w:r>
      <w:r w:rsidR="72DF000C" w:rsidRPr="00D13B67">
        <w:t>”</w:t>
      </w:r>
      <w:r w:rsidR="3CF2FAD7" w:rsidRPr="00D13B67">
        <w:t xml:space="preserve"> </w:t>
      </w:r>
      <w:r w:rsidR="72DF000C" w:rsidRPr="00D13B67">
        <w:t>(</w:t>
      </w:r>
      <w:proofErr w:type="spellStart"/>
      <w:r w:rsidR="72DF000C" w:rsidRPr="00D13B67">
        <w:t>Ferleger</w:t>
      </w:r>
      <w:proofErr w:type="spellEnd"/>
      <w:r w:rsidR="72DF000C" w:rsidRPr="00D13B67">
        <w:t xml:space="preserve"> &amp; Boyd, 1979)</w:t>
      </w:r>
      <w:r w:rsidR="189CD123" w:rsidRPr="00D13B67">
        <w:t xml:space="preserve"> and will eventually through age</w:t>
      </w:r>
      <w:r w:rsidR="6BB00758" w:rsidRPr="00D13B67">
        <w:t xml:space="preserve">, disease, or accident experience the mismatch </w:t>
      </w:r>
      <w:r w:rsidR="00886765" w:rsidRPr="00D13B67">
        <w:t>between design and human function</w:t>
      </w:r>
      <w:r w:rsidR="002D4CE6" w:rsidRPr="00D13B67">
        <w:t xml:space="preserve"> </w:t>
      </w:r>
      <w:r w:rsidR="3CF2FAD7" w:rsidRPr="00D13B67">
        <w:t>that society labels as disability.</w:t>
      </w:r>
      <w:r w:rsidR="72DF000C" w:rsidRPr="00D13B67">
        <w:t xml:space="preserve"> </w:t>
      </w:r>
      <w:r w:rsidR="07E8D464" w:rsidRPr="00D13B67">
        <w:t xml:space="preserve">Ableism can manifest in many forms whether </w:t>
      </w:r>
      <w:r w:rsidR="00015176" w:rsidRPr="00D13B67">
        <w:t>institutional</w:t>
      </w:r>
      <w:r w:rsidR="07E8D464" w:rsidRPr="00D13B67">
        <w:t xml:space="preserve">, attitudinal, or </w:t>
      </w:r>
      <w:r w:rsidR="6225E92E" w:rsidRPr="00D13B67">
        <w:t>policy</w:t>
      </w:r>
      <w:r w:rsidR="00231BA4" w:rsidRPr="00D13B67">
        <w:t>-</w:t>
      </w:r>
      <w:r w:rsidR="6225E92E" w:rsidRPr="00D13B67">
        <w:t xml:space="preserve">based </w:t>
      </w:r>
      <w:r w:rsidR="002D4CE6" w:rsidRPr="00D13B67">
        <w:t xml:space="preserve">but </w:t>
      </w:r>
      <w:r w:rsidR="6225E92E" w:rsidRPr="00D13B67">
        <w:t xml:space="preserve">ultimately </w:t>
      </w:r>
      <w:r w:rsidR="00231BA4" w:rsidRPr="00D13B67">
        <w:t>results in</w:t>
      </w:r>
      <w:r w:rsidR="002D4CE6" w:rsidRPr="00D13B67">
        <w:t xml:space="preserve"> </w:t>
      </w:r>
      <w:r w:rsidR="6225E92E" w:rsidRPr="00D13B67">
        <w:t xml:space="preserve">ignoring, silencing, and </w:t>
      </w:r>
      <w:r w:rsidR="6225E92E" w:rsidRPr="00D13B67">
        <w:lastRenderedPageBreak/>
        <w:t>erasing disability and disabled people (</w:t>
      </w:r>
      <w:proofErr w:type="spellStart"/>
      <w:r w:rsidR="6225E92E" w:rsidRPr="00D13B67">
        <w:t>Kikabhai</w:t>
      </w:r>
      <w:proofErr w:type="spellEnd"/>
      <w:r w:rsidR="6225E92E" w:rsidRPr="00D13B67">
        <w:t>, 2022)</w:t>
      </w:r>
      <w:r w:rsidR="07E8D464" w:rsidRPr="00D13B67">
        <w:t xml:space="preserve">. A significant factor of ableist thinking is that all disabled people are dependent on others and in contrast non-disabled people are </w:t>
      </w:r>
      <w:r w:rsidR="387D5C0E" w:rsidRPr="00D13B67">
        <w:t>independent (</w:t>
      </w:r>
      <w:proofErr w:type="spellStart"/>
      <w:r w:rsidR="00CE38DF" w:rsidRPr="00D13B67">
        <w:t>Titchkosky</w:t>
      </w:r>
      <w:proofErr w:type="spellEnd"/>
      <w:r w:rsidR="00CE38DF" w:rsidRPr="00D13B67">
        <w:t xml:space="preserve">, 2011; </w:t>
      </w:r>
      <w:r w:rsidR="387D5C0E" w:rsidRPr="00D13B67">
        <w:t>Withers, 2012</w:t>
      </w:r>
      <w:r w:rsidR="0050002C" w:rsidRPr="00D13B67">
        <w:t xml:space="preserve">; </w:t>
      </w:r>
      <w:r w:rsidR="0050002C" w:rsidRPr="00D13B67">
        <w:rPr>
          <w:rFonts w:ascii="Aptos" w:eastAsia="Aptos" w:hAnsi="Aptos" w:cs="Aptos"/>
        </w:rPr>
        <w:t xml:space="preserve">Freeman, 2015; </w:t>
      </w:r>
      <w:proofErr w:type="spellStart"/>
      <w:r w:rsidR="0050002C" w:rsidRPr="00D13B67">
        <w:rPr>
          <w:rFonts w:ascii="Aptos" w:eastAsia="Aptos" w:hAnsi="Aptos" w:cs="Aptos"/>
        </w:rPr>
        <w:t>Alyass</w:t>
      </w:r>
      <w:proofErr w:type="spellEnd"/>
      <w:r w:rsidR="0050002C" w:rsidRPr="00D13B67">
        <w:rPr>
          <w:rFonts w:ascii="Aptos" w:eastAsia="Aptos" w:hAnsi="Aptos" w:cs="Aptos"/>
        </w:rPr>
        <w:t>, 2024</w:t>
      </w:r>
      <w:r w:rsidR="002D4CE6" w:rsidRPr="00D13B67">
        <w:t>).</w:t>
      </w:r>
      <w:r w:rsidR="387D5C0E" w:rsidRPr="00D13B67">
        <w:t xml:space="preserve"> In fact, almost no one, regardless of impairment, is truly independent</w:t>
      </w:r>
      <w:r w:rsidR="00BC14D5" w:rsidRPr="00D13B67">
        <w:t>; as Sarah Hendren writes: “all people, over the course of their lives, traffic between times of relative independence and dependence” (Hendren, 2018, p. 140)</w:t>
      </w:r>
      <w:r w:rsidR="387D5C0E" w:rsidRPr="00D13B67">
        <w:t xml:space="preserve">. Ableism chooses to ignore certain </w:t>
      </w:r>
      <w:r w:rsidR="00D625E5" w:rsidRPr="00D13B67">
        <w:t>assistance</w:t>
      </w:r>
      <w:r w:rsidR="6C54B065" w:rsidRPr="00D13B67">
        <w:t xml:space="preserve"> that </w:t>
      </w:r>
      <w:r w:rsidR="00CA7400" w:rsidRPr="00D13B67">
        <w:t>many</w:t>
      </w:r>
      <w:r w:rsidR="6C54B065" w:rsidRPr="00D13B67">
        <w:t xml:space="preserve"> people are dependent on while insisting that any other form of help is a sign of weakness. </w:t>
      </w:r>
      <w:r w:rsidR="00CA7400" w:rsidRPr="00D13B67">
        <w:t xml:space="preserve">For example, </w:t>
      </w:r>
      <w:r w:rsidR="003E75E5" w:rsidRPr="00D13B67">
        <w:t>many Canadians are dependent on municipalities to shovel sidewalks and clear streets of snow</w:t>
      </w:r>
      <w:r w:rsidR="00F71EFC" w:rsidRPr="00D13B67">
        <w:t xml:space="preserve"> simply to navigate their neighbourhoods or commute to work. </w:t>
      </w:r>
      <w:r w:rsidR="00427F65" w:rsidRPr="00D13B67">
        <w:t xml:space="preserve">This </w:t>
      </w:r>
      <w:r w:rsidR="0033520C" w:rsidRPr="00D13B67">
        <w:t xml:space="preserve">form of </w:t>
      </w:r>
      <w:r w:rsidR="00427F65" w:rsidRPr="00D13B67">
        <w:t xml:space="preserve">assistance is not seen as </w:t>
      </w:r>
      <w:r w:rsidR="0033520C" w:rsidRPr="00D13B67">
        <w:t xml:space="preserve">extra or </w:t>
      </w:r>
      <w:r w:rsidR="00C77D1F" w:rsidRPr="00D13B67">
        <w:t>labelled</w:t>
      </w:r>
      <w:r w:rsidR="00231BA4" w:rsidRPr="00D13B67">
        <w:t xml:space="preserve"> as</w:t>
      </w:r>
      <w:r w:rsidR="00C77D1F" w:rsidRPr="00D13B67">
        <w:t xml:space="preserve"> </w:t>
      </w:r>
      <w:r w:rsidR="00427F65" w:rsidRPr="00D13B67">
        <w:t xml:space="preserve">dependence. </w:t>
      </w:r>
      <w:r w:rsidR="00231BA4" w:rsidRPr="00D13B67">
        <w:t>Basic</w:t>
      </w:r>
      <w:r w:rsidR="00C77D1F" w:rsidRPr="00D13B67">
        <w:t xml:space="preserve"> assistive technology</w:t>
      </w:r>
      <w:r w:rsidR="00231BA4" w:rsidRPr="00D13B67">
        <w:t>,</w:t>
      </w:r>
      <w:r w:rsidR="00C77D1F" w:rsidRPr="00D13B67">
        <w:t xml:space="preserve"> such as eyeglasses and contact lenses</w:t>
      </w:r>
      <w:r w:rsidR="00231BA4" w:rsidRPr="00D13B67">
        <w:t>,</w:t>
      </w:r>
      <w:r w:rsidR="00C77D1F" w:rsidRPr="00D13B67">
        <w:t xml:space="preserve"> </w:t>
      </w:r>
      <w:r w:rsidR="0098183A" w:rsidRPr="00D13B67">
        <w:t>is</w:t>
      </w:r>
      <w:r w:rsidR="00C77D1F" w:rsidRPr="00D13B67">
        <w:t xml:space="preserve"> so ubiquitous it would be outlandish to consider them a specialized form </w:t>
      </w:r>
      <w:r w:rsidR="00866298" w:rsidRPr="00D13B67">
        <w:t xml:space="preserve">of assistance. Society is selective of what difference is acceptable and what requires an asterisk, if </w:t>
      </w:r>
      <w:r w:rsidR="00C61BD4" w:rsidRPr="00D13B67">
        <w:t xml:space="preserve">it is to be </w:t>
      </w:r>
      <w:r w:rsidR="00866298" w:rsidRPr="00D13B67">
        <w:t>included at all.</w:t>
      </w:r>
      <w:r w:rsidR="6C54B065" w:rsidRPr="00D13B67">
        <w:t xml:space="preserve"> </w:t>
      </w:r>
      <w:r w:rsidR="00C5186A" w:rsidRPr="00D13B67">
        <w:t>Disabled</w:t>
      </w:r>
      <w:r w:rsidR="001C2695" w:rsidRPr="00D13B67">
        <w:t xml:space="preserve"> people are </w:t>
      </w:r>
      <w:r w:rsidR="00C5186A" w:rsidRPr="00D13B67">
        <w:t>“</w:t>
      </w:r>
      <w:r w:rsidR="001C2695" w:rsidRPr="00D13B67">
        <w:t>just enough unlike others so as to secure a unique version of help, and just enough like others to be recognized as a valid form of participation</w:t>
      </w:r>
      <w:r w:rsidR="00A44B0F" w:rsidRPr="00D13B67">
        <w:t>”</w:t>
      </w:r>
      <w:r w:rsidR="001C2695" w:rsidRPr="00D13B67">
        <w:t xml:space="preserve"> (</w:t>
      </w:r>
      <w:proofErr w:type="spellStart"/>
      <w:r w:rsidR="001C2695" w:rsidRPr="00D13B67">
        <w:t>Titchkosky</w:t>
      </w:r>
      <w:proofErr w:type="spellEnd"/>
      <w:r w:rsidR="001C2695" w:rsidRPr="00D13B67">
        <w:t>, 2011, p. 45</w:t>
      </w:r>
      <w:r w:rsidR="00A44B0F" w:rsidRPr="00D13B67">
        <w:t>).</w:t>
      </w:r>
      <w:r w:rsidR="00C61BD4" w:rsidRPr="00D13B67">
        <w:t xml:space="preserve"> This mindset is intimately tied to </w:t>
      </w:r>
      <w:r w:rsidR="008D613C" w:rsidRPr="00D13B67">
        <w:t>the categorization of certain types of help being labelled accommodations as discussed in section 2.1.3. Certain types of help, according to post-secondary institution, must be proven, document</w:t>
      </w:r>
      <w:r w:rsidR="00231BA4" w:rsidRPr="00D13B67">
        <w:t>ed</w:t>
      </w:r>
      <w:r w:rsidR="008D613C" w:rsidRPr="00D13B67">
        <w:t>, and segregated (</w:t>
      </w:r>
      <w:proofErr w:type="spellStart"/>
      <w:r w:rsidR="008D613C" w:rsidRPr="00D13B67">
        <w:t>Alyass</w:t>
      </w:r>
      <w:proofErr w:type="spellEnd"/>
      <w:r w:rsidR="008D613C" w:rsidRPr="00D13B67">
        <w:t xml:space="preserve">, 2024). </w:t>
      </w:r>
    </w:p>
    <w:p w14:paraId="2ED2B5FC" w14:textId="4BE7DE85" w:rsidR="00577BD8" w:rsidRPr="00D13B67" w:rsidRDefault="0AAFD195" w:rsidP="0080241A">
      <w:pPr>
        <w:pStyle w:val="Body"/>
      </w:pPr>
      <w:r w:rsidRPr="00D13B67">
        <w:t xml:space="preserve">Of specific interest to the accessibility of digital learning materials is the idea of </w:t>
      </w:r>
      <w:proofErr w:type="spellStart"/>
      <w:r w:rsidRPr="00D13B67">
        <w:t>technoableism</w:t>
      </w:r>
      <w:proofErr w:type="spellEnd"/>
      <w:r w:rsidRPr="00D13B67">
        <w:t>. This specific brand of ableism believes that technology has the power</w:t>
      </w:r>
      <w:r w:rsidR="002D4CE6" w:rsidRPr="00D13B67">
        <w:t xml:space="preserve">, and the moral imperative, to eliminate disability (Shew, 2023). </w:t>
      </w:r>
      <w:proofErr w:type="spellStart"/>
      <w:r w:rsidR="002D4CE6" w:rsidRPr="00D13B67">
        <w:t>Technoableism</w:t>
      </w:r>
      <w:proofErr w:type="spellEnd"/>
      <w:r w:rsidR="002D4CE6" w:rsidRPr="00D13B67">
        <w:t xml:space="preserve"> often manifests </w:t>
      </w:r>
      <w:r w:rsidR="002D4CE6" w:rsidRPr="00D13B67">
        <w:lastRenderedPageBreak/>
        <w:t xml:space="preserve">as futuristic exoskeletons, wheelchairs that climb stairs, and skull implants to ‘cure’ disability. One ‘transhumanist’ argued in 2015 that “we should be repairing disabilities, not sidewalks” (Istvan, 2015). </w:t>
      </w:r>
      <w:proofErr w:type="spellStart"/>
      <w:r w:rsidR="002D4CE6" w:rsidRPr="00D13B67">
        <w:t>Technoableist</w:t>
      </w:r>
      <w:proofErr w:type="spellEnd"/>
      <w:r w:rsidR="002D4CE6" w:rsidRPr="00D13B67">
        <w:t xml:space="preserve"> thinking envisions a world without ramps, closed captions, or alt text by using technology to “normalize disabled people, to make us ‘overcome’ our disabilities</w:t>
      </w:r>
      <w:r w:rsidR="00415A9F" w:rsidRPr="00D13B67">
        <w:t>”</w:t>
      </w:r>
      <w:r w:rsidR="002D4CE6" w:rsidRPr="00D13B67">
        <w:t xml:space="preserve"> (Sh</w:t>
      </w:r>
      <w:r w:rsidR="00D402E8" w:rsidRPr="00D13B67">
        <w:t>e</w:t>
      </w:r>
      <w:r w:rsidR="002D4CE6" w:rsidRPr="00D13B67">
        <w:t xml:space="preserve">w, 2023, p. 32). While AI-assisted image transcription and optical character recognition tools may immensely help disabled students, those advancements do not excuse the creation of inaccessible digital learning material and do not absolve </w:t>
      </w:r>
      <w:r w:rsidR="00415A9F" w:rsidRPr="00D13B67">
        <w:t>responsible parties</w:t>
      </w:r>
      <w:r w:rsidR="002D4CE6" w:rsidRPr="00D13B67">
        <w:t xml:space="preserve"> </w:t>
      </w:r>
      <w:r w:rsidR="00D61F3C" w:rsidRPr="00D13B67">
        <w:t>from</w:t>
      </w:r>
      <w:r w:rsidR="002D4CE6" w:rsidRPr="00D13B67">
        <w:t xml:space="preserve"> creating and choosing inaccessible content. Technology can assist</w:t>
      </w:r>
      <w:r w:rsidR="7A5F03B6" w:rsidRPr="00D13B67">
        <w:t xml:space="preserve"> people</w:t>
      </w:r>
      <w:r w:rsidR="007D11FB" w:rsidRPr="00D13B67">
        <w:t>,</w:t>
      </w:r>
      <w:r w:rsidR="7A5F03B6" w:rsidRPr="00D13B67">
        <w:t xml:space="preserve"> but technology is not a method to cure disability, an act which does not need occur in the first place.</w:t>
      </w:r>
      <w:r w:rsidR="00585F0F" w:rsidRPr="00D13B67">
        <w:t xml:space="preserve"> </w:t>
      </w:r>
      <w:r w:rsidR="00577BD8" w:rsidRPr="00D13B67">
        <w:t>As prominent disability justice activist and scholar Eli Clare</w:t>
      </w:r>
      <w:r w:rsidR="0022312B" w:rsidRPr="00D13B67">
        <w:t xml:space="preserve"> (2017)</w:t>
      </w:r>
      <w:r w:rsidR="00577BD8" w:rsidRPr="00D13B67">
        <w:t xml:space="preserve"> argues in </w:t>
      </w:r>
      <w:r w:rsidR="00577BD8" w:rsidRPr="00D13B67">
        <w:rPr>
          <w:i/>
          <w:iCs/>
        </w:rPr>
        <w:t>Brilliant Imperfection</w:t>
      </w:r>
      <w:r w:rsidR="00E43BB0" w:rsidRPr="00D13B67">
        <w:rPr>
          <w:i/>
          <w:iCs/>
        </w:rPr>
        <w:t>,</w:t>
      </w:r>
      <w:r w:rsidR="00577BD8" w:rsidRPr="00D13B67">
        <w:rPr>
          <w:i/>
          <w:iCs/>
        </w:rPr>
        <w:t xml:space="preserve"> </w:t>
      </w:r>
      <w:r w:rsidR="00D16515" w:rsidRPr="00D13B67">
        <w:t>an</w:t>
      </w:r>
      <w:r w:rsidR="00577BD8" w:rsidRPr="00D13B67">
        <w:t xml:space="preserve"> ideology of cur</w:t>
      </w:r>
      <w:r w:rsidR="00B51CF0" w:rsidRPr="00D13B67">
        <w:t>ing disability</w:t>
      </w:r>
      <w:r w:rsidR="00E43BB0" w:rsidRPr="00D13B67">
        <w:t xml:space="preserve"> </w:t>
      </w:r>
      <w:r w:rsidR="00B51CF0" w:rsidRPr="00D13B67">
        <w:t>“centered on eradication . . . always operates in relationship to violence</w:t>
      </w:r>
      <w:r w:rsidR="0038418D" w:rsidRPr="00D13B67">
        <w:t>” (</w:t>
      </w:r>
      <w:r w:rsidR="00F5197E" w:rsidRPr="00D13B67">
        <w:t>p. 28</w:t>
      </w:r>
      <w:r w:rsidR="0038418D" w:rsidRPr="00D13B67">
        <w:t>)</w:t>
      </w:r>
      <w:r w:rsidR="00B51CF0" w:rsidRPr="00D13B67">
        <w:t xml:space="preserve">. </w:t>
      </w:r>
      <w:r w:rsidR="004C5432" w:rsidRPr="00D13B67">
        <w:t>The violence of eradicat</w:t>
      </w:r>
      <w:r w:rsidR="00691302" w:rsidRPr="00D13B67">
        <w:t>ing</w:t>
      </w:r>
      <w:r w:rsidR="004C5432" w:rsidRPr="00D13B67">
        <w:t xml:space="preserve"> disability is </w:t>
      </w:r>
      <w:r w:rsidR="00691302" w:rsidRPr="00D13B67">
        <w:t xml:space="preserve">unnecessary, </w:t>
      </w:r>
      <w:r w:rsidR="004C5432" w:rsidRPr="00D13B67">
        <w:t>unwelcome</w:t>
      </w:r>
      <w:r w:rsidR="00691302" w:rsidRPr="00D13B67">
        <w:t>,</w:t>
      </w:r>
      <w:r w:rsidR="004C5432" w:rsidRPr="00D13B67">
        <w:t xml:space="preserve"> and inhumane</w:t>
      </w:r>
      <w:r w:rsidR="00691302" w:rsidRPr="00D13B67">
        <w:t>.</w:t>
      </w:r>
    </w:p>
    <w:p w14:paraId="1F6D4F06" w14:textId="0088688C" w:rsidR="005B3BBE" w:rsidRPr="00D13B67" w:rsidRDefault="005B3BBE" w:rsidP="0080241A">
      <w:pPr>
        <w:pStyle w:val="Body"/>
      </w:pPr>
      <w:r w:rsidRPr="00D13B67">
        <w:t xml:space="preserve">Disability studies </w:t>
      </w:r>
      <w:r w:rsidR="00AF71B7" w:rsidRPr="00D13B67">
        <w:t>exist</w:t>
      </w:r>
      <w:r w:rsidR="001F7241" w:rsidRPr="00D13B67">
        <w:t xml:space="preserve"> in large part because </w:t>
      </w:r>
      <w:r w:rsidR="00A77428" w:rsidRPr="00D13B67">
        <w:t>“not all people, after all, need to assert their status as human” (</w:t>
      </w:r>
      <w:proofErr w:type="spellStart"/>
      <w:r w:rsidR="00A77428" w:rsidRPr="00D13B67">
        <w:t>Titchkosky</w:t>
      </w:r>
      <w:proofErr w:type="spellEnd"/>
      <w:r w:rsidR="00A77428" w:rsidRPr="00D13B67">
        <w:t>, 2011, p. 22).</w:t>
      </w:r>
      <w:r w:rsidR="006E06A5" w:rsidRPr="00D13B67">
        <w:t xml:space="preserve"> Ableist societies and structures delineate</w:t>
      </w:r>
      <w:r w:rsidR="005725FA" w:rsidRPr="00D13B67">
        <w:t xml:space="preserve">, ever so finely, </w:t>
      </w:r>
      <w:r w:rsidR="0093177C" w:rsidRPr="00D13B67">
        <w:t>who</w:t>
      </w:r>
      <w:r w:rsidR="005725FA" w:rsidRPr="00D13B67">
        <w:t xml:space="preserve"> is and isn’t to be included and excluded.</w:t>
      </w:r>
      <w:r w:rsidR="0093177C" w:rsidRPr="00D13B67">
        <w:t xml:space="preserve"> </w:t>
      </w:r>
      <w:r w:rsidR="00A045DC" w:rsidRPr="00D13B67">
        <w:t xml:space="preserve">Even in </w:t>
      </w:r>
      <w:r w:rsidR="00D22532" w:rsidRPr="00D13B67">
        <w:t xml:space="preserve">supposedly </w:t>
      </w:r>
      <w:r w:rsidR="00A045DC" w:rsidRPr="00D13B67">
        <w:t>inclusive environments</w:t>
      </w:r>
      <w:r w:rsidR="00D22532" w:rsidRPr="00D13B67">
        <w:t xml:space="preserve">, such as </w:t>
      </w:r>
      <w:r w:rsidR="00415A9F" w:rsidRPr="00D13B67">
        <w:t>post-secondary institutions</w:t>
      </w:r>
      <w:r w:rsidR="00D22532" w:rsidRPr="00D13B67">
        <w:t>, disability remains excludable</w:t>
      </w:r>
      <w:r w:rsidR="004F751F" w:rsidRPr="00D13B67">
        <w:t xml:space="preserve"> and an exception.</w:t>
      </w:r>
      <w:r w:rsidR="00415A9F" w:rsidRPr="00D13B67">
        <w:t xml:space="preserve"> Academia has a long history of studying disability, often </w:t>
      </w:r>
      <w:r w:rsidR="00A24D7E" w:rsidRPr="00D13B67">
        <w:t>through extraction rather than inclusion.</w:t>
      </w:r>
    </w:p>
    <w:p w14:paraId="1328ADE9" w14:textId="36D6FAA3" w:rsidR="00C07D14" w:rsidRPr="00D13B67" w:rsidRDefault="009B044B" w:rsidP="00C07D14">
      <w:pPr>
        <w:pStyle w:val="Heading4"/>
      </w:pPr>
      <w:bookmarkStart w:id="20" w:name="_Toc228867975"/>
      <w:r w:rsidRPr="00D13B67">
        <w:t>2.2</w:t>
      </w:r>
      <w:r w:rsidR="00C07D14" w:rsidRPr="00D13B67">
        <w:t>.1 Models of Disability</w:t>
      </w:r>
      <w:bookmarkEnd w:id="20"/>
    </w:p>
    <w:p w14:paraId="5ACA17EE" w14:textId="74D8FF15" w:rsidR="001423AA" w:rsidRPr="00D13B67" w:rsidRDefault="002D4CE6" w:rsidP="002D4CE6">
      <w:pPr>
        <w:pStyle w:val="Body"/>
      </w:pPr>
      <w:r w:rsidRPr="00D13B67">
        <w:t>The study of disability and disabled people has been largely centred on how disability is defined. Disability was historically viewed through the charity or trag</w:t>
      </w:r>
      <w:r w:rsidR="00DD5299" w:rsidRPr="00D13B67">
        <w:t>e</w:t>
      </w:r>
      <w:r w:rsidR="007D11FB" w:rsidRPr="00D13B67">
        <w:t>dy</w:t>
      </w:r>
      <w:r w:rsidRPr="00D13B67">
        <w:t xml:space="preserve"> </w:t>
      </w:r>
      <w:r w:rsidRPr="00D13B67">
        <w:lastRenderedPageBreak/>
        <w:t>models in which disability was to be pitied and disabled people were considered burdens</w:t>
      </w:r>
      <w:r w:rsidR="00DD5299" w:rsidRPr="00D13B67">
        <w:t>.</w:t>
      </w:r>
      <w:r w:rsidRPr="00D13B67">
        <w:t xml:space="preserve"> </w:t>
      </w:r>
      <w:r w:rsidR="00DD5299" w:rsidRPr="00D13B67">
        <w:t>These perceptions</w:t>
      </w:r>
      <w:r w:rsidRPr="00D13B67">
        <w:t xml:space="preserve"> of disability as a problem </w:t>
      </w:r>
      <w:r w:rsidR="001423AA" w:rsidRPr="00D13B67">
        <w:t>have</w:t>
      </w:r>
      <w:r w:rsidRPr="00D13B67">
        <w:t xml:space="preserve"> historically been addressed by eugenics (Withers, 2012). </w:t>
      </w:r>
      <w:r w:rsidR="004E40B7" w:rsidRPr="00D13B67">
        <w:t xml:space="preserve">How society understands </w:t>
      </w:r>
      <w:r w:rsidR="005F03A7" w:rsidRPr="00D13B67">
        <w:t xml:space="preserve">disability has a profound impact on the relative </w:t>
      </w:r>
      <w:r w:rsidR="003054DF" w:rsidRPr="00D13B67">
        <w:t>inclusion</w:t>
      </w:r>
      <w:r w:rsidR="005F03A7" w:rsidRPr="00D13B67">
        <w:t xml:space="preserve"> of disabled people. </w:t>
      </w:r>
    </w:p>
    <w:p w14:paraId="539882E9" w14:textId="5F52A6C5" w:rsidR="001423AA" w:rsidRPr="00D13B67" w:rsidRDefault="001423AA" w:rsidP="001423AA">
      <w:pPr>
        <w:pStyle w:val="Heading5"/>
      </w:pPr>
      <w:r w:rsidRPr="00D13B67">
        <w:t>Medical Model</w:t>
      </w:r>
    </w:p>
    <w:p w14:paraId="2203830C" w14:textId="3FC4CCAB" w:rsidR="002D4CE6" w:rsidRPr="00D13B67" w:rsidRDefault="002D4CE6" w:rsidP="002D4CE6">
      <w:pPr>
        <w:pStyle w:val="Body"/>
      </w:pPr>
      <w:r w:rsidRPr="00D13B67">
        <w:t>The medical model of disability could be considered the first serious study of disability</w:t>
      </w:r>
      <w:r w:rsidR="003054DF" w:rsidRPr="00D13B67">
        <w:t xml:space="preserve"> as the charity and tragedy models became less acceptable </w:t>
      </w:r>
      <w:r w:rsidR="002570CD" w:rsidRPr="00D13B67">
        <w:t>in the early to mid-20</w:t>
      </w:r>
      <w:r w:rsidR="002570CD" w:rsidRPr="00D13B67">
        <w:rPr>
          <w:vertAlign w:val="superscript"/>
        </w:rPr>
        <w:t>th</w:t>
      </w:r>
      <w:r w:rsidR="002570CD" w:rsidRPr="00D13B67">
        <w:t xml:space="preserve"> century</w:t>
      </w:r>
      <w:r w:rsidRPr="00D13B67">
        <w:t>. The medical model focuses on the functional limitations imposed on individuals by the symptoms of their medical diagnosis. Essentially, the medical model examines how a person’s disability restricts their ability to complete activities and contribute to the economy</w:t>
      </w:r>
      <w:r w:rsidR="007E2618" w:rsidRPr="00D13B67">
        <w:t xml:space="preserve">; the medical model individualizes disability </w:t>
      </w:r>
      <w:r w:rsidR="002570CD" w:rsidRPr="00D13B67">
        <w:t xml:space="preserve">as a defect of a person </w:t>
      </w:r>
      <w:r w:rsidR="007E2618" w:rsidRPr="00D13B67">
        <w:t>(</w:t>
      </w:r>
      <w:proofErr w:type="spellStart"/>
      <w:r w:rsidR="007E2618" w:rsidRPr="00D13B67">
        <w:t>Titchkosky</w:t>
      </w:r>
      <w:proofErr w:type="spellEnd"/>
      <w:r w:rsidR="007E2618" w:rsidRPr="00D13B67">
        <w:t>, 2011)</w:t>
      </w:r>
      <w:r w:rsidRPr="00D13B67">
        <w:t xml:space="preserve">. In 1980 the World Health Organization (WHO) used the medical model to </w:t>
      </w:r>
      <w:r w:rsidR="002570CD" w:rsidRPr="00D13B67">
        <w:t>defined disability as</w:t>
      </w:r>
      <w:r w:rsidRPr="00D13B67">
        <w:t xml:space="preserve"> </w:t>
      </w:r>
      <w:r w:rsidR="002570CD" w:rsidRPr="00D13B67">
        <w:t>“</w:t>
      </w:r>
      <w:r w:rsidRPr="00D13B67">
        <w:t xml:space="preserve">any restriction or lack (resulting from an impairment) of ability to perform an activity in the manner or within the range considered normal for a human being” (p. 28). </w:t>
      </w:r>
      <w:r w:rsidRPr="00D13B67">
        <w:rPr>
          <w:rFonts w:ascii="Aptos" w:eastAsia="Aptos" w:hAnsi="Aptos" w:cs="Aptos"/>
        </w:rPr>
        <w:t>In an academic context, accommodations that require medical documentation and assume functional limitations of an individual based on diagnosis rely</w:t>
      </w:r>
      <w:r w:rsidR="009C68F3" w:rsidRPr="00D13B67">
        <w:rPr>
          <w:rFonts w:ascii="Aptos" w:eastAsia="Aptos" w:hAnsi="Aptos" w:cs="Aptos"/>
        </w:rPr>
        <w:t>, at least in part,</w:t>
      </w:r>
      <w:r w:rsidRPr="00D13B67">
        <w:rPr>
          <w:rFonts w:ascii="Aptos" w:eastAsia="Aptos" w:hAnsi="Aptos" w:cs="Aptos"/>
        </w:rPr>
        <w:t xml:space="preserve"> on the medical model of disability. </w:t>
      </w:r>
      <w:r w:rsidR="005B1CAB" w:rsidRPr="00D13B67">
        <w:rPr>
          <w:rFonts w:ascii="Aptos" w:eastAsia="Aptos" w:hAnsi="Aptos" w:cs="Aptos"/>
        </w:rPr>
        <w:t xml:space="preserve">A 2020 study of 42 Canadian universities’ accommodation policies </w:t>
      </w:r>
      <w:r w:rsidR="00922DFF" w:rsidRPr="00D13B67">
        <w:rPr>
          <w:rFonts w:ascii="Aptos" w:eastAsia="Aptos" w:hAnsi="Aptos" w:cs="Aptos"/>
        </w:rPr>
        <w:t>“contain overtly medical language</w:t>
      </w:r>
      <w:r w:rsidR="00BC7FF5" w:rsidRPr="00D13B67">
        <w:rPr>
          <w:rFonts w:ascii="Aptos" w:eastAsia="Aptos" w:hAnsi="Aptos" w:cs="Aptos"/>
        </w:rPr>
        <w:t>”</w:t>
      </w:r>
      <w:r w:rsidR="00922DFF" w:rsidRPr="00D13B67">
        <w:rPr>
          <w:rFonts w:ascii="Aptos" w:eastAsia="Aptos" w:hAnsi="Aptos" w:cs="Aptos"/>
        </w:rPr>
        <w:t xml:space="preserve"> (</w:t>
      </w:r>
      <w:proofErr w:type="spellStart"/>
      <w:r w:rsidR="00922DFF" w:rsidRPr="00D13B67">
        <w:rPr>
          <w:rFonts w:ascii="Aptos" w:eastAsia="Aptos" w:hAnsi="Aptos" w:cs="Aptos"/>
        </w:rPr>
        <w:t>Saltes</w:t>
      </w:r>
      <w:proofErr w:type="spellEnd"/>
      <w:r w:rsidR="00922DFF" w:rsidRPr="00D13B67">
        <w:rPr>
          <w:rFonts w:ascii="Aptos" w:eastAsia="Aptos" w:hAnsi="Aptos" w:cs="Aptos"/>
        </w:rPr>
        <w:t xml:space="preserve">, 2020). </w:t>
      </w:r>
      <w:r w:rsidR="00926A27" w:rsidRPr="00D13B67">
        <w:rPr>
          <w:rFonts w:ascii="Aptos" w:eastAsia="Aptos" w:hAnsi="Aptos" w:cs="Aptos"/>
        </w:rPr>
        <w:t xml:space="preserve">By </w:t>
      </w:r>
      <w:r w:rsidR="00012456" w:rsidRPr="00D13B67">
        <w:rPr>
          <w:rFonts w:ascii="Aptos" w:eastAsia="Aptos" w:hAnsi="Aptos" w:cs="Aptos"/>
        </w:rPr>
        <w:t>employing</w:t>
      </w:r>
      <w:r w:rsidR="00926A27" w:rsidRPr="00D13B67">
        <w:rPr>
          <w:rFonts w:ascii="Aptos" w:eastAsia="Aptos" w:hAnsi="Aptos" w:cs="Aptos"/>
        </w:rPr>
        <w:t xml:space="preserve"> a medical model</w:t>
      </w:r>
      <w:r w:rsidR="00041B28" w:rsidRPr="00D13B67">
        <w:rPr>
          <w:rFonts w:ascii="Aptos" w:eastAsia="Aptos" w:hAnsi="Aptos" w:cs="Aptos"/>
        </w:rPr>
        <w:t>,</w:t>
      </w:r>
      <w:r w:rsidR="00926A27" w:rsidRPr="00D13B67">
        <w:rPr>
          <w:rFonts w:ascii="Aptos" w:eastAsia="Aptos" w:hAnsi="Aptos" w:cs="Aptos"/>
        </w:rPr>
        <w:t xml:space="preserve"> post-secondary</w:t>
      </w:r>
      <w:r w:rsidR="00041B28" w:rsidRPr="00D13B67">
        <w:rPr>
          <w:rFonts w:ascii="Aptos" w:eastAsia="Aptos" w:hAnsi="Aptos" w:cs="Aptos"/>
        </w:rPr>
        <w:t xml:space="preserve"> individualizes </w:t>
      </w:r>
      <w:r w:rsidR="009C68F3" w:rsidRPr="00D13B67">
        <w:rPr>
          <w:rFonts w:ascii="Aptos" w:eastAsia="Aptos" w:hAnsi="Aptos" w:cs="Aptos"/>
        </w:rPr>
        <w:t xml:space="preserve">disability </w:t>
      </w:r>
      <w:r w:rsidR="00041B28" w:rsidRPr="00D13B67">
        <w:rPr>
          <w:rFonts w:ascii="Aptos" w:eastAsia="Aptos" w:hAnsi="Aptos" w:cs="Aptos"/>
        </w:rPr>
        <w:t xml:space="preserve">by </w:t>
      </w:r>
      <w:r w:rsidR="00867C29" w:rsidRPr="00D13B67">
        <w:rPr>
          <w:rFonts w:ascii="Aptos" w:eastAsia="Aptos" w:hAnsi="Aptos" w:cs="Aptos"/>
        </w:rPr>
        <w:t xml:space="preserve">labelling students </w:t>
      </w:r>
      <w:r w:rsidR="009C68F3" w:rsidRPr="00D13B67">
        <w:rPr>
          <w:rFonts w:ascii="Aptos" w:eastAsia="Aptos" w:hAnsi="Aptos" w:cs="Aptos"/>
        </w:rPr>
        <w:t>as</w:t>
      </w:r>
      <w:r w:rsidR="00867C29" w:rsidRPr="00D13B67">
        <w:rPr>
          <w:rFonts w:ascii="Aptos" w:eastAsia="Aptos" w:hAnsi="Aptos" w:cs="Aptos"/>
        </w:rPr>
        <w:t xml:space="preserve"> in need of fixing instead of the </w:t>
      </w:r>
      <w:r w:rsidR="00426BE6" w:rsidRPr="00D13B67">
        <w:rPr>
          <w:rFonts w:ascii="Aptos" w:eastAsia="Aptos" w:hAnsi="Aptos" w:cs="Aptos"/>
        </w:rPr>
        <w:t>institution</w:t>
      </w:r>
      <w:r w:rsidR="00867C29" w:rsidRPr="00D13B67">
        <w:rPr>
          <w:rFonts w:ascii="Aptos" w:eastAsia="Aptos" w:hAnsi="Aptos" w:cs="Aptos"/>
        </w:rPr>
        <w:t xml:space="preserve"> or curriculum</w:t>
      </w:r>
      <w:r w:rsidR="00926A27" w:rsidRPr="00D13B67">
        <w:rPr>
          <w:rFonts w:ascii="Aptos" w:eastAsia="Aptos" w:hAnsi="Aptos" w:cs="Aptos"/>
        </w:rPr>
        <w:t xml:space="preserve"> </w:t>
      </w:r>
      <w:r w:rsidR="00867C29" w:rsidRPr="00D13B67">
        <w:rPr>
          <w:rFonts w:ascii="Aptos" w:eastAsia="Aptos" w:hAnsi="Aptos" w:cs="Aptos"/>
        </w:rPr>
        <w:t>and places the burden of access</w:t>
      </w:r>
      <w:r w:rsidR="00012456" w:rsidRPr="00D13B67">
        <w:rPr>
          <w:rFonts w:ascii="Aptos" w:eastAsia="Aptos" w:hAnsi="Aptos" w:cs="Aptos"/>
        </w:rPr>
        <w:t xml:space="preserve"> on students</w:t>
      </w:r>
      <w:r w:rsidR="003130B9" w:rsidRPr="00D13B67">
        <w:rPr>
          <w:rFonts w:ascii="Aptos" w:eastAsia="Aptos" w:hAnsi="Aptos" w:cs="Aptos"/>
        </w:rPr>
        <w:t xml:space="preserve"> (Edwards et al., 2022)</w:t>
      </w:r>
      <w:r w:rsidR="00012456" w:rsidRPr="00D13B67">
        <w:rPr>
          <w:rFonts w:ascii="Aptos" w:eastAsia="Aptos" w:hAnsi="Aptos" w:cs="Aptos"/>
        </w:rPr>
        <w:t>.</w:t>
      </w:r>
      <w:r w:rsidR="00041B28" w:rsidRPr="00D13B67">
        <w:rPr>
          <w:rFonts w:ascii="Aptos" w:eastAsia="Aptos" w:hAnsi="Aptos" w:cs="Aptos"/>
        </w:rPr>
        <w:t xml:space="preserve"> </w:t>
      </w:r>
      <w:r w:rsidRPr="00D13B67">
        <w:rPr>
          <w:rFonts w:ascii="Aptos" w:eastAsia="Aptos" w:hAnsi="Aptos" w:cs="Aptos"/>
        </w:rPr>
        <w:t>The medical model relies on significant assumptions</w:t>
      </w:r>
      <w:r w:rsidR="00A70675" w:rsidRPr="00D13B67">
        <w:rPr>
          <w:rFonts w:ascii="Aptos" w:eastAsia="Aptos" w:hAnsi="Aptos" w:cs="Aptos"/>
        </w:rPr>
        <w:t xml:space="preserve"> about</w:t>
      </w:r>
      <w:r w:rsidRPr="00D13B67">
        <w:rPr>
          <w:rFonts w:ascii="Aptos" w:eastAsia="Aptos" w:hAnsi="Aptos" w:cs="Aptos"/>
        </w:rPr>
        <w:t xml:space="preserve"> disabled people and places </w:t>
      </w:r>
      <w:r w:rsidR="00A70675" w:rsidRPr="00D13B67">
        <w:rPr>
          <w:rFonts w:ascii="Aptos" w:eastAsia="Aptos" w:hAnsi="Aptos" w:cs="Aptos"/>
        </w:rPr>
        <w:t>undue</w:t>
      </w:r>
      <w:r w:rsidRPr="00D13B67">
        <w:rPr>
          <w:rFonts w:ascii="Aptos" w:eastAsia="Aptos" w:hAnsi="Aptos" w:cs="Aptos"/>
        </w:rPr>
        <w:t xml:space="preserve"> burden on disabled people without </w:t>
      </w:r>
      <w:r w:rsidRPr="00D13B67">
        <w:rPr>
          <w:rFonts w:ascii="Aptos" w:eastAsia="Aptos" w:hAnsi="Aptos" w:cs="Aptos"/>
        </w:rPr>
        <w:lastRenderedPageBreak/>
        <w:t>considering the social and environmental conditions that limit people’s access. By 2011, the WHO had updated its definition of disability to “</w:t>
      </w:r>
      <w:r w:rsidRPr="00D13B67">
        <w:t>a complex phenomenon, reflecting the interaction between features of a person’s body and features of the society in which they live” (2011). This definition represents a basic version of the social model of disability.</w:t>
      </w:r>
    </w:p>
    <w:p w14:paraId="360D5F43" w14:textId="00D4B401" w:rsidR="00C82AF8" w:rsidRPr="00D13B67" w:rsidRDefault="00C82AF8" w:rsidP="00C82AF8">
      <w:pPr>
        <w:pStyle w:val="Heading5"/>
      </w:pPr>
      <w:r w:rsidRPr="00D13B67">
        <w:t>Social Model</w:t>
      </w:r>
    </w:p>
    <w:p w14:paraId="219E2C14" w14:textId="06BA728B" w:rsidR="002D4CE6" w:rsidRPr="00D13B67" w:rsidRDefault="002D4CE6" w:rsidP="002D4CE6">
      <w:pPr>
        <w:pStyle w:val="Body"/>
      </w:pPr>
      <w:r w:rsidRPr="00D13B67">
        <w:t xml:space="preserve">The social model of disability focuses on the </w:t>
      </w:r>
      <w:r w:rsidR="00D1234E" w:rsidRPr="00D13B67">
        <w:t>impact</w:t>
      </w:r>
      <w:r w:rsidRPr="00D13B67">
        <w:t xml:space="preserve"> of society on individuals rather than the supposed deficiency of an individual. Prejudiced expectations of normalcy contribute significantly to the marginalization of disabled people</w:t>
      </w:r>
      <w:r w:rsidR="00647FB9" w:rsidRPr="00D13B67">
        <w:t>;</w:t>
      </w:r>
      <w:r w:rsidRPr="00D13B67">
        <w:t xml:space="preserve"> </w:t>
      </w:r>
      <w:r w:rsidR="00571827" w:rsidRPr="00D13B67">
        <w:t>however,</w:t>
      </w:r>
      <w:r w:rsidRPr="00D13B67">
        <w:t xml:space="preserve"> the social model argues that disability is a social phenomenon produced by the intersection of bodies, identity, and societal expectations (</w:t>
      </w:r>
      <w:proofErr w:type="spellStart"/>
      <w:r w:rsidRPr="00D13B67">
        <w:t>Titchkosky</w:t>
      </w:r>
      <w:proofErr w:type="spellEnd"/>
      <w:r w:rsidRPr="00D13B67">
        <w:t xml:space="preserve">, 2003; </w:t>
      </w:r>
      <w:r w:rsidRPr="00D13B67">
        <w:rPr>
          <w:rFonts w:ascii="Aptos" w:eastAsia="Aptos" w:hAnsi="Aptos" w:cs="Aptos"/>
        </w:rPr>
        <w:t>Hosking, 2008</w:t>
      </w:r>
      <w:r w:rsidRPr="00D13B67">
        <w:t xml:space="preserve">). While a medical model of disability emphasizes the individual's inability to do things as expected, the social model posits that disability is caused by inaccessible design and </w:t>
      </w:r>
      <w:r w:rsidR="00647FB9" w:rsidRPr="00D13B67">
        <w:t xml:space="preserve">that </w:t>
      </w:r>
      <w:r w:rsidRPr="00D13B67">
        <w:t>cultural expectations are an intrusion on people’s lives (</w:t>
      </w:r>
      <w:proofErr w:type="spellStart"/>
      <w:r w:rsidRPr="00D13B67">
        <w:t>Titchkosky</w:t>
      </w:r>
      <w:proofErr w:type="spellEnd"/>
      <w:r w:rsidRPr="00D13B67">
        <w:t>, 2003). The social model works to undo the harms of the medical model which problematize</w:t>
      </w:r>
      <w:r w:rsidR="00A06E95" w:rsidRPr="00D13B67">
        <w:t>d</w:t>
      </w:r>
      <w:r w:rsidRPr="00D13B67">
        <w:t xml:space="preserve"> disabled people’s existence and drew attention away from the problem</w:t>
      </w:r>
      <w:r w:rsidR="00D47426" w:rsidRPr="00D13B67">
        <w:t>s</w:t>
      </w:r>
      <w:r w:rsidRPr="00D13B67">
        <w:t xml:space="preserve"> of a world designed to exclude (Shew, 2023).</w:t>
      </w:r>
    </w:p>
    <w:p w14:paraId="1D39C17F" w14:textId="56AFDC02" w:rsidR="00D47426" w:rsidRPr="00D13B67" w:rsidRDefault="002D4CE6" w:rsidP="002D4CE6">
      <w:pPr>
        <w:pStyle w:val="Body"/>
      </w:pPr>
      <w:r w:rsidRPr="00D13B67">
        <w:t>The social model of disability first arose from a rejection of the medical model</w:t>
      </w:r>
      <w:r w:rsidR="00922DFF" w:rsidRPr="00D13B67">
        <w:t xml:space="preserve">. Nearly a decade prior to the </w:t>
      </w:r>
      <w:r w:rsidR="00D47426" w:rsidRPr="00D13B67">
        <w:t xml:space="preserve">1980 </w:t>
      </w:r>
      <w:r w:rsidR="00922DFF" w:rsidRPr="00D13B67">
        <w:t>WHO medical definition of disability,</w:t>
      </w:r>
      <w:r w:rsidRPr="00D13B67">
        <w:t xml:space="preserve"> the Union of Physically Impaired Against Segregation in </w:t>
      </w:r>
      <w:r w:rsidR="00D47426" w:rsidRPr="00D13B67">
        <w:t xml:space="preserve">stated </w:t>
      </w:r>
      <w:r w:rsidRPr="00D13B67">
        <w:t xml:space="preserve">1972 </w:t>
      </w:r>
      <w:r w:rsidR="00D47426" w:rsidRPr="00D13B67">
        <w:t>that</w:t>
      </w:r>
      <w:r w:rsidR="001C5DE1" w:rsidRPr="00D13B67">
        <w:t>:</w:t>
      </w:r>
      <w:r w:rsidRPr="00D13B67">
        <w:t xml:space="preserve"> </w:t>
      </w:r>
    </w:p>
    <w:p w14:paraId="4C69755B" w14:textId="6FE9E9DB" w:rsidR="00D47426" w:rsidRPr="00D13B67" w:rsidRDefault="001C5DE1" w:rsidP="00D47426">
      <w:pPr>
        <w:pStyle w:val="Body"/>
        <w:ind w:left="709" w:firstLine="0"/>
      </w:pPr>
      <w:r w:rsidRPr="00D13B67">
        <w:t>O</w:t>
      </w:r>
      <w:r w:rsidR="002D4CE6" w:rsidRPr="00D13B67">
        <w:t xml:space="preserve">ur Union rejects entirely any idea of medical or other experts having the right to tell us how we should live, or withholding information from us, or take decisions behind our backs . . . We already know what it feels like to be poor, isolated, segregated, </w:t>
      </w:r>
      <w:r w:rsidR="002D4CE6" w:rsidRPr="00D13B67">
        <w:lastRenderedPageBreak/>
        <w:t>done good to, stared at, and talked down to - far better than any able-bodied expert</w:t>
      </w:r>
      <w:r w:rsidR="00D47426" w:rsidRPr="00D13B67">
        <w:t>.</w:t>
      </w:r>
      <w:r w:rsidR="002D4CE6" w:rsidRPr="00D13B67">
        <w:t xml:space="preserve"> (p. 5)</w:t>
      </w:r>
    </w:p>
    <w:p w14:paraId="14D56353" w14:textId="15612F8A" w:rsidR="0045087E" w:rsidRPr="00D13B67" w:rsidRDefault="002D4CE6" w:rsidP="00D47426">
      <w:pPr>
        <w:pStyle w:val="Body"/>
        <w:ind w:firstLine="0"/>
      </w:pPr>
      <w:r w:rsidRPr="00D13B67">
        <w:t>The same group wrote in 197</w:t>
      </w:r>
      <w:r w:rsidR="007967B5" w:rsidRPr="00D13B67">
        <w:t>6</w:t>
      </w:r>
      <w:r w:rsidRPr="00D13B67">
        <w:t xml:space="preserve"> that “disability is a situation, caused by social conditions” (p. 4)</w:t>
      </w:r>
      <w:r w:rsidR="00852F1A" w:rsidRPr="00D13B67">
        <w:t xml:space="preserve"> and “imposed on top of our impairments by the way we are isolated and excluded from full participation in society” (p. 20). The Union of Physically Impaired Against Segregation asserted that “disabled people are therefore an oppressed group in society</w:t>
      </w:r>
      <w:r w:rsidR="003D3BB4" w:rsidRPr="00D13B67">
        <w:t>” as “it is society which disables” (p. 20</w:t>
      </w:r>
      <w:r w:rsidRPr="00D13B67">
        <w:t xml:space="preserve">). The social model emphasizes the intersectionality of disability and the necessity for disabled people to have autonomy over their own lives. </w:t>
      </w:r>
    </w:p>
    <w:p w14:paraId="4C0DB8EE" w14:textId="1FD55474" w:rsidR="002D4CE6" w:rsidRPr="00D13B67" w:rsidRDefault="002D4CE6" w:rsidP="002D4CE6">
      <w:pPr>
        <w:pStyle w:val="Body"/>
        <w:rPr>
          <w:rFonts w:ascii="Aptos" w:eastAsia="Aptos" w:hAnsi="Aptos" w:cs="Aptos"/>
        </w:rPr>
      </w:pPr>
      <w:r w:rsidRPr="00D13B67">
        <w:t>The social model</w:t>
      </w:r>
      <w:r w:rsidR="001C5DE1" w:rsidRPr="00D13B67">
        <w:t xml:space="preserve"> also</w:t>
      </w:r>
      <w:r w:rsidRPr="00D13B67">
        <w:t xml:space="preserve"> argues that people are not disabled by impairments but by barriers in society and culture (Oliver, 2013). </w:t>
      </w:r>
      <w:r w:rsidR="0045087E" w:rsidRPr="00D13B67">
        <w:t>This paradigm</w:t>
      </w:r>
      <w:r w:rsidRPr="00D13B67">
        <w:t xml:space="preserve"> emphasizes societal oppression as the cause of disability, not individual impairment; people are “disabled by society not by our bodies” (Altman, 2001; </w:t>
      </w:r>
      <w:r w:rsidR="00143304" w:rsidRPr="00D13B67">
        <w:t xml:space="preserve">Shakespeare &amp; Waston, </w:t>
      </w:r>
      <w:r w:rsidRPr="00D13B67">
        <w:t xml:space="preserve">2001, p. 5). </w:t>
      </w:r>
      <w:r w:rsidR="00F4569A" w:rsidRPr="00D13B67">
        <w:t>T</w:t>
      </w:r>
      <w:r w:rsidRPr="00D13B67">
        <w:t xml:space="preserve">he social model </w:t>
      </w:r>
      <w:r w:rsidR="00F4569A" w:rsidRPr="00D13B67">
        <w:t xml:space="preserve">defines impairment </w:t>
      </w:r>
      <w:r w:rsidRPr="00D13B67">
        <w:t xml:space="preserve">as </w:t>
      </w:r>
      <w:r w:rsidR="00F4569A" w:rsidRPr="00D13B67">
        <w:t xml:space="preserve">the </w:t>
      </w:r>
      <w:r w:rsidRPr="00D13B67">
        <w:t xml:space="preserve">functional limitations of an individual while disability is the oppression imposed by society (Withers, 2012); because "a person with a disability only feels she is disabled when confronted with discrimination” (Pfeiffer, 2002, p. 5). Societies have preferred and designed for people with certain bodies and minds and privileged certain forms of engagement ensuring others who don’t conform to narrow definitions of normal are </w:t>
      </w:r>
      <w:r w:rsidR="00B5392C" w:rsidRPr="00D13B67">
        <w:t xml:space="preserve">labelled </w:t>
      </w:r>
      <w:r w:rsidRPr="00D13B67">
        <w:t>disabled (Dolmage, 2017). The social model of disability, by removing the medical emphasis, redistributes responsibility for increasing accessibility to everyone (T</w:t>
      </w:r>
      <w:r w:rsidR="00AB31A0" w:rsidRPr="00D13B67">
        <w:t>r</w:t>
      </w:r>
      <w:r w:rsidRPr="00D13B67">
        <w:t xml:space="preserve">ybus et al., 2019). However, the social model alone </w:t>
      </w:r>
      <w:r w:rsidR="00B5392C" w:rsidRPr="00D13B67">
        <w:t>doesn’</w:t>
      </w:r>
      <w:r w:rsidRPr="00D13B67">
        <w:t xml:space="preserve">t ensure complete accessibility and inclusion. Instead, the social model changes the emphasis on where reform needs to occur (Shew, 2023). Where disability is caused by the </w:t>
      </w:r>
      <w:r w:rsidR="00F4569A" w:rsidRPr="00D13B67">
        <w:t>interaction</w:t>
      </w:r>
      <w:r w:rsidRPr="00D13B67">
        <w:t xml:space="preserve"> </w:t>
      </w:r>
      <w:r w:rsidRPr="00D13B67">
        <w:lastRenderedPageBreak/>
        <w:t xml:space="preserve">between bodies and environments, </w:t>
      </w:r>
      <w:proofErr w:type="spellStart"/>
      <w:r w:rsidR="00400CA7" w:rsidRPr="00D13B67">
        <w:t>Titchkosky</w:t>
      </w:r>
      <w:proofErr w:type="spellEnd"/>
      <w:r w:rsidR="00400CA7" w:rsidRPr="00D13B67">
        <w:t xml:space="preserve"> (2011) states</w:t>
      </w:r>
      <w:r w:rsidRPr="00D13B67">
        <w:t xml:space="preserve"> there is no value in asking how to ‘fix disabled people,’ retrofitting existing spaces, or providing accommodations</w:t>
      </w:r>
      <w:r w:rsidR="00400CA7" w:rsidRPr="00D13B67">
        <w:t>.</w:t>
      </w:r>
      <w:r w:rsidRPr="00D13B67">
        <w:t xml:space="preserve"> Instead</w:t>
      </w:r>
      <w:r w:rsidR="00400CA7" w:rsidRPr="00D13B67">
        <w:rPr>
          <w:rFonts w:ascii="Aptos" w:hAnsi="Aptos"/>
        </w:rPr>
        <w:t>—</w:t>
      </w:r>
      <w:r w:rsidR="00400CA7" w:rsidRPr="00D13B67">
        <w:t xml:space="preserve">as </w:t>
      </w:r>
      <w:proofErr w:type="spellStart"/>
      <w:r w:rsidR="00400CA7" w:rsidRPr="00D13B67">
        <w:t>Titchkosky</w:t>
      </w:r>
      <w:proofErr w:type="spellEnd"/>
      <w:r w:rsidR="00400CA7" w:rsidRPr="00D13B67">
        <w:t xml:space="preserve"> agues</w:t>
      </w:r>
      <w:r w:rsidR="00400CA7" w:rsidRPr="00D13B67">
        <w:rPr>
          <w:rFonts w:ascii="Aptos" w:hAnsi="Aptos"/>
        </w:rPr>
        <w:t>—</w:t>
      </w:r>
      <w:r w:rsidRPr="00D13B67">
        <w:t>considerations of reimagining, and redefining normalcy (and the supposed benefit of normalcy) are key to progressing toward more inclusive experiences</w:t>
      </w:r>
      <w:r w:rsidR="00400CA7" w:rsidRPr="00D13B67">
        <w:t>.</w:t>
      </w:r>
      <w:r w:rsidRPr="00D13B67">
        <w:t xml:space="preserve"> </w:t>
      </w:r>
      <w:r w:rsidR="00EC0B56" w:rsidRPr="00D13B67">
        <w:rPr>
          <w:i/>
          <w:iCs/>
        </w:rPr>
        <w:t>Against</w:t>
      </w:r>
      <w:r w:rsidRPr="00D13B67">
        <w:rPr>
          <w:i/>
        </w:rPr>
        <w:t xml:space="preserve"> </w:t>
      </w:r>
      <w:proofErr w:type="spellStart"/>
      <w:r w:rsidRPr="00D13B67">
        <w:rPr>
          <w:i/>
        </w:rPr>
        <w:t>Technoableism</w:t>
      </w:r>
      <w:proofErr w:type="spellEnd"/>
      <w:r w:rsidRPr="00D13B67">
        <w:t xml:space="preserve"> author Ashley Shew notes there is no one normal type of brain, only a “culturally constructed fiction” that prefers to place one over another</w:t>
      </w:r>
      <w:r w:rsidR="00772AF7" w:rsidRPr="00D13B67">
        <w:t>;</w:t>
      </w:r>
      <w:r w:rsidRPr="00D13B67">
        <w:t xml:space="preserve"> any suggestion that there is one normal way of being is no more valid that insisting there is one normal ethnicity, gender, or culture (2023, p. 81). By focusing on society, the social model posits that “a disability may be a better display board for the weaknesses of a cultural system than it is an account of real persons” (McDermott &amp; </w:t>
      </w:r>
      <w:proofErr w:type="spellStart"/>
      <w:r w:rsidRPr="00D13B67">
        <w:t>Varenne</w:t>
      </w:r>
      <w:proofErr w:type="spellEnd"/>
      <w:r w:rsidRPr="00D13B67">
        <w:t xml:space="preserve">, 1995, p. 327). </w:t>
      </w:r>
    </w:p>
    <w:p w14:paraId="40AA9A2D" w14:textId="30237550" w:rsidR="00715E32" w:rsidRPr="00D13B67" w:rsidRDefault="002D4CE6" w:rsidP="002D4CE6">
      <w:pPr>
        <w:pStyle w:val="Body"/>
      </w:pPr>
      <w:r w:rsidRPr="00D13B67">
        <w:t>Where the social model works to “accept and value disabled people as equal integrated members of society” (Hosking, 2008, p. 8) significant work remains to reduce the barriers that cause exclusion and disables people’s ability to participate. In our case, the cause of disability, according to the social model, is the creation and choice of inaccessible digital learning material. The digital environment</w:t>
      </w:r>
      <w:r w:rsidRPr="00D13B67">
        <w:rPr>
          <w:rFonts w:ascii="Aptos" w:hAnsi="Aptos"/>
        </w:rPr>
        <w:t>—</w:t>
      </w:r>
      <w:r w:rsidRPr="00D13B67">
        <w:t>whether an eBook, learning management system, or distributed document</w:t>
      </w:r>
      <w:r w:rsidRPr="00D13B67">
        <w:rPr>
          <w:rFonts w:ascii="Aptos" w:hAnsi="Aptos"/>
        </w:rPr>
        <w:t>—</w:t>
      </w:r>
      <w:r w:rsidRPr="00D13B67">
        <w:t>creates the barriers that disables students.</w:t>
      </w:r>
    </w:p>
    <w:p w14:paraId="7886EF32" w14:textId="233EB18A" w:rsidR="00715E32" w:rsidRPr="00D13B67" w:rsidRDefault="00715E32" w:rsidP="00715E32">
      <w:pPr>
        <w:pStyle w:val="Heading5"/>
      </w:pPr>
      <w:r w:rsidRPr="00D13B67">
        <w:t xml:space="preserve">Minority </w:t>
      </w:r>
      <w:r w:rsidR="00CE2808" w:rsidRPr="00D13B67">
        <w:t xml:space="preserve">and Legal </w:t>
      </w:r>
      <w:r w:rsidRPr="00D13B67">
        <w:t>Model</w:t>
      </w:r>
      <w:r w:rsidR="00CE2808" w:rsidRPr="00D13B67">
        <w:t>s</w:t>
      </w:r>
    </w:p>
    <w:p w14:paraId="51BF472F" w14:textId="1E52B1EE" w:rsidR="002D4CE6" w:rsidRPr="00D13B67" w:rsidRDefault="002D4CE6" w:rsidP="002D4CE6">
      <w:pPr>
        <w:pStyle w:val="Body"/>
      </w:pPr>
      <w:r w:rsidRPr="00D13B67">
        <w:t>The minority model is closely related to the social model, potentially different only in the name</w:t>
      </w:r>
      <w:r w:rsidR="00B55A6E" w:rsidRPr="00D13B67">
        <w:t>s</w:t>
      </w:r>
      <w:r w:rsidRPr="00D13B67">
        <w:t xml:space="preserve"> initially applied in the United States and Great Britain, respectively (Shakespeare </w:t>
      </w:r>
      <w:r w:rsidR="001F07ED" w:rsidRPr="00D13B67">
        <w:t>&amp;</w:t>
      </w:r>
      <w:r w:rsidRPr="00D13B67">
        <w:t xml:space="preserve"> Watson, 2001; Williams, 2001). The minority model rejects the medical model of disability but emphasizes the similarities between disabled people and other </w:t>
      </w:r>
      <w:r w:rsidR="001F07ED" w:rsidRPr="00D13B67">
        <w:lastRenderedPageBreak/>
        <w:t xml:space="preserve">oppressed </w:t>
      </w:r>
      <w:r w:rsidRPr="00D13B67">
        <w:t xml:space="preserve">groups </w:t>
      </w:r>
      <w:r w:rsidR="0004722B" w:rsidRPr="00D13B67">
        <w:t xml:space="preserve">segregated </w:t>
      </w:r>
      <w:r w:rsidRPr="00D13B67">
        <w:t xml:space="preserve">based on supposed differences such as race, ethnicity, gender, or age (Hahn, 1987). The Union of Physically Impaired Against Segregation noted that disabled people, along with “black, ex-prisoners, </w:t>
      </w:r>
      <w:r w:rsidR="00B55A6E" w:rsidRPr="00D13B67">
        <w:t>[and]</w:t>
      </w:r>
      <w:r w:rsidRPr="00D13B67">
        <w:t xml:space="preserve"> unskilled workers” are the first to be laid off and “be cast on the scrap-heap when it suits the needs of the economy” (Union of Physically Impaired Against Segregation, 1972, p. 2). Legal scholars </w:t>
      </w:r>
      <w:r w:rsidR="0004722B" w:rsidRPr="00D13B67">
        <w:t>cited</w:t>
      </w:r>
      <w:r w:rsidRPr="00D13B67">
        <w:t xml:space="preserve"> the American Constitution’s promise of equality </w:t>
      </w:r>
      <w:r w:rsidR="0004722B" w:rsidRPr="00D13B67">
        <w:t>to extend to</w:t>
      </w:r>
      <w:r w:rsidRPr="00D13B67">
        <w:t xml:space="preserve"> “blacks, women, homosexuals, children, prisoners . . . the elderly, the so-called disabled” (</w:t>
      </w:r>
      <w:proofErr w:type="spellStart"/>
      <w:r w:rsidRPr="00D13B67">
        <w:t>Ferleger</w:t>
      </w:r>
      <w:proofErr w:type="spellEnd"/>
      <w:r w:rsidRPr="00D13B67">
        <w:t xml:space="preserve"> </w:t>
      </w:r>
      <w:r w:rsidR="002D5D84" w:rsidRPr="00D13B67">
        <w:t>&amp;</w:t>
      </w:r>
      <w:r w:rsidRPr="00D13B67">
        <w:t xml:space="preserve"> Boyd, 1979, p. 742). The legal model of disability insists that disability is a problem caused by lack of access to legal rights and that the most effective way to include disabled people is through enforced legislation and public policy (Trybus et al., 2019). The legal model is aligned with elements of the minority model in emphasizing the necessity of equal treatment of disabled people under the aegis of human rights. However, as discussed below, decades of accessibility legislation have not meaningfully improved the accessibility of digital content. </w:t>
      </w:r>
      <w:r w:rsidR="00B86C15" w:rsidRPr="00D13B67">
        <w:t>The legal model may be a useful lens but does not consider the</w:t>
      </w:r>
      <w:r w:rsidRPr="00D13B67">
        <w:t xml:space="preserve"> cultural</w:t>
      </w:r>
      <w:r w:rsidR="00B86C15" w:rsidRPr="00D13B67">
        <w:t xml:space="preserve"> and </w:t>
      </w:r>
      <w:r w:rsidRPr="00D13B67">
        <w:t xml:space="preserve">sociopolitical experience </w:t>
      </w:r>
      <w:r w:rsidR="00B86C15" w:rsidRPr="00D13B67">
        <w:t>or the</w:t>
      </w:r>
      <w:r w:rsidRPr="00D13B67">
        <w:t xml:space="preserve"> identity of disability</w:t>
      </w:r>
      <w:r w:rsidR="00B86C15" w:rsidRPr="00D13B67">
        <w:t xml:space="preserve"> that the social and minority models centers</w:t>
      </w:r>
      <w:r w:rsidRPr="00D13B67">
        <w:t xml:space="preserve"> (Altman, 2001). This positionality is also explored by </w:t>
      </w:r>
      <w:r w:rsidR="002A0EAB" w:rsidRPr="00D13B67">
        <w:t>I</w:t>
      </w:r>
      <w:r w:rsidRPr="00D13B67">
        <w:t xml:space="preserve">ndigenous scholars who consider the disproportionate diagnosing of </w:t>
      </w:r>
      <w:r w:rsidR="002A0EAB" w:rsidRPr="00D13B67">
        <w:t>I</w:t>
      </w:r>
      <w:r w:rsidRPr="00D13B67">
        <w:t xml:space="preserve">ndigenous children as ‘disabled’ and examine disability as a colonial construct that conflicts with </w:t>
      </w:r>
      <w:r w:rsidR="002A0EAB" w:rsidRPr="00D13B67">
        <w:t>I</w:t>
      </w:r>
      <w:r w:rsidRPr="00D13B67">
        <w:t>ndigenous conceptions of community and perpetuate colonial assimilation practices (</w:t>
      </w:r>
      <w:proofErr w:type="spellStart"/>
      <w:r w:rsidRPr="00D13B67">
        <w:t>Ineese</w:t>
      </w:r>
      <w:proofErr w:type="spellEnd"/>
      <w:r w:rsidRPr="00D13B67">
        <w:t>-Nash, 2020). The social and minority models portray disability as a natural characteristic of human existence</w:t>
      </w:r>
      <w:r w:rsidR="00FA0D2F" w:rsidRPr="00D13B67">
        <w:t>, not a defect in individuals</w:t>
      </w:r>
      <w:r w:rsidRPr="00D13B67">
        <w:t xml:space="preserve"> (Dunn </w:t>
      </w:r>
      <w:r w:rsidR="00484125" w:rsidRPr="00D13B67">
        <w:t>&amp;</w:t>
      </w:r>
      <w:r w:rsidRPr="00D13B67">
        <w:t xml:space="preserve"> Andrews, 2015).</w:t>
      </w:r>
      <w:r w:rsidR="00B51CA9" w:rsidRPr="00D13B67">
        <w:t xml:space="preserve"> Understanding </w:t>
      </w:r>
      <w:r w:rsidR="005D0F71" w:rsidRPr="00D13B67">
        <w:t xml:space="preserve">how disability is studied and perceived </w:t>
      </w:r>
      <w:r w:rsidR="005D0F71" w:rsidRPr="00D13B67">
        <w:lastRenderedPageBreak/>
        <w:t xml:space="preserve">is an important step </w:t>
      </w:r>
      <w:r w:rsidR="00CF3B9F" w:rsidRPr="00D13B67">
        <w:t>to understanding what works, and what has not, to tangibly improve the lives of disabled people.</w:t>
      </w:r>
    </w:p>
    <w:p w14:paraId="334CBAE1" w14:textId="51A2E1E9" w:rsidR="00715E32" w:rsidRPr="00D13B67" w:rsidRDefault="00715E32" w:rsidP="00715E32">
      <w:pPr>
        <w:pStyle w:val="Heading5"/>
      </w:pPr>
      <w:r w:rsidRPr="00D13B67">
        <w:t>Affirmative Model</w:t>
      </w:r>
    </w:p>
    <w:p w14:paraId="321AB0E3" w14:textId="094A7E85" w:rsidR="002D4CE6" w:rsidRPr="00D13B67" w:rsidRDefault="002D4CE6" w:rsidP="002D4CE6">
      <w:pPr>
        <w:pStyle w:val="Body"/>
      </w:pPr>
      <w:r w:rsidRPr="00D13B67">
        <w:t xml:space="preserve">The affirmative model of disability emphasizes positive social identities for disabled people. The affirmative model is in direct opposition to the tragedy and charity models of disability that claim disability is something to be pitied. The affirmative model builds on the social model’s “liberatory imperative” and efforts </w:t>
      </w:r>
      <w:r w:rsidR="009E1070" w:rsidRPr="00D13B67">
        <w:t>toward</w:t>
      </w:r>
      <w:r w:rsidRPr="00D13B67">
        <w:t xml:space="preserve"> full active citizenship and equal rights (Swain </w:t>
      </w:r>
      <w:r w:rsidR="00484125" w:rsidRPr="00D13B67">
        <w:t>&amp;</w:t>
      </w:r>
      <w:r w:rsidRPr="00D13B67">
        <w:t xml:space="preserve"> French, 2000, p. 569). Where “the value of a future that includes disabled people goes unrecognized, while the value of a disability-free future is seen as self-evident" the affirmative model of disability argues that disability is not to be feared or eradicated, but celebrated (Kafer, 2013, p. 3). The affirmative model puts forth a vision where not only are societal, attitudinal, and structural barriers removed but differences of race, sexual preference, gender, age, or impairment are celebrated (Swain </w:t>
      </w:r>
      <w:r w:rsidR="00ED7C68" w:rsidRPr="00D13B67">
        <w:t>&amp;</w:t>
      </w:r>
      <w:r w:rsidRPr="00D13B67">
        <w:t xml:space="preserve"> French, 2000, p. 580). Within Canada’s cultural mosaic, disabled Canadians are a long way from being included, let alone celebrated.</w:t>
      </w:r>
    </w:p>
    <w:p w14:paraId="701A3309" w14:textId="70C17BF0" w:rsidR="002F6E9F" w:rsidRPr="00D13B67" w:rsidRDefault="002F6E9F" w:rsidP="002F6E9F">
      <w:pPr>
        <w:pStyle w:val="Heading5"/>
        <w:rPr>
          <w:rFonts w:ascii="Aptos" w:eastAsia="Aptos" w:hAnsi="Aptos" w:cs="Aptos"/>
        </w:rPr>
      </w:pPr>
      <w:r w:rsidRPr="00D13B67">
        <w:t>Radical Model</w:t>
      </w:r>
    </w:p>
    <w:p w14:paraId="4FAF1A76" w14:textId="7ED1DE11" w:rsidR="00910C64" w:rsidRPr="00D13B67" w:rsidRDefault="002D4CE6" w:rsidP="00DB5F2A">
      <w:pPr>
        <w:pStyle w:val="Body"/>
      </w:pPr>
      <w:r w:rsidRPr="00D13B67">
        <w:t>The radical model of disability expands the social and minority model</w:t>
      </w:r>
      <w:r w:rsidR="00404AFF" w:rsidRPr="00D13B67">
        <w:t>s</w:t>
      </w:r>
      <w:r w:rsidRPr="00D13B67">
        <w:t>, emphasizing how the concept of disability is used as a deliberate tool of oppression. The Union of Physically Impaired Against Segregation</w:t>
      </w:r>
      <w:r w:rsidR="00910C64" w:rsidRPr="00D13B67">
        <w:t xml:space="preserve"> (1972)</w:t>
      </w:r>
      <w:r w:rsidRPr="00D13B67">
        <w:t xml:space="preserve"> noted that</w:t>
      </w:r>
      <w:r w:rsidR="00910C64" w:rsidRPr="00D13B67">
        <w:t>:</w:t>
      </w:r>
    </w:p>
    <w:p w14:paraId="526E2320" w14:textId="1EA49A40" w:rsidR="00910C64" w:rsidRPr="00D13B67" w:rsidRDefault="002D4CE6" w:rsidP="00910C64">
      <w:pPr>
        <w:pStyle w:val="Body"/>
        <w:ind w:left="709" w:firstLine="0"/>
      </w:pPr>
      <w:r w:rsidRPr="00D13B67">
        <w:t xml:space="preserve">despite the creation today of such an enormous [economic] capacity, which could help overcome disability, the way this capacity is misdirected means that many </w:t>
      </w:r>
      <w:r w:rsidRPr="00D13B67">
        <w:lastRenderedPageBreak/>
        <w:t>physically impaired people are still unnecessarily barred from full participation in society</w:t>
      </w:r>
      <w:r w:rsidR="00910C64" w:rsidRPr="00D13B67">
        <w:t>.</w:t>
      </w:r>
      <w:r w:rsidRPr="00D13B67">
        <w:t>” (p. 1)</w:t>
      </w:r>
    </w:p>
    <w:p w14:paraId="3A5D1156" w14:textId="05938CC1" w:rsidR="00B41659" w:rsidRPr="00D13B67" w:rsidRDefault="00BC157A" w:rsidP="00910C64">
      <w:pPr>
        <w:pStyle w:val="Body"/>
      </w:pPr>
      <w:r w:rsidRPr="00D13B67">
        <w:t>A.J. Withers</w:t>
      </w:r>
      <w:r w:rsidR="001214E5" w:rsidRPr="00D13B67">
        <w:t xml:space="preserve">, in </w:t>
      </w:r>
      <w:r w:rsidR="00714BAA" w:rsidRPr="00D13B67">
        <w:t>the</w:t>
      </w:r>
      <w:r w:rsidR="001214E5" w:rsidRPr="00D13B67">
        <w:t xml:space="preserve"> book </w:t>
      </w:r>
      <w:r w:rsidR="001214E5" w:rsidRPr="00D13B67">
        <w:rPr>
          <w:i/>
          <w:iCs/>
        </w:rPr>
        <w:t>Disability Politics and Theory</w:t>
      </w:r>
      <w:r w:rsidR="00714BAA" w:rsidRPr="00D13B67">
        <w:rPr>
          <w:i/>
          <w:iCs/>
        </w:rPr>
        <w:t xml:space="preserve"> </w:t>
      </w:r>
      <w:r w:rsidR="00714BAA" w:rsidRPr="00D13B67">
        <w:t>(2012),</w:t>
      </w:r>
      <w:r w:rsidRPr="00D13B67">
        <w:t xml:space="preserve"> outlines </w:t>
      </w:r>
      <w:r w:rsidR="001214E5" w:rsidRPr="00D13B67">
        <w:t>how</w:t>
      </w:r>
      <w:r w:rsidRPr="00D13B67">
        <w:t xml:space="preserve"> </w:t>
      </w:r>
      <w:r w:rsidR="001214E5" w:rsidRPr="00D13B67">
        <w:t>t</w:t>
      </w:r>
      <w:r w:rsidR="002D4CE6" w:rsidRPr="00D13B67">
        <w:t xml:space="preserve">he radical model argues that disability is equated to deviance and used to stigmatize and punish divergence from the norm. The radical model also galvanized the intersectionality of disability and the need for unity and common action amongst oppressed groups (Union of Physically Impaired Against Segregation, 1972; Withers, 2012). The oppression and marginalization of disabled people, interlocked and overlapping with other forms of oppression, </w:t>
      </w:r>
      <w:r w:rsidR="00714BAA" w:rsidRPr="00D13B67">
        <w:t>are</w:t>
      </w:r>
      <w:r w:rsidR="002D4CE6" w:rsidRPr="00D13B67">
        <w:t xml:space="preserve"> used to obtain and maintain power through false dichotomies of superiority and inferiority (Withers, 2012). The radical model challenges conceptions of </w:t>
      </w:r>
      <w:r w:rsidR="00714BAA" w:rsidRPr="00D13B67">
        <w:t>normalcy</w:t>
      </w:r>
      <w:r w:rsidR="002D4CE6" w:rsidRPr="00D13B67">
        <w:t xml:space="preserve"> and how categorizing people, especially disabled people, allows “the supremacy of the norm” (p. 98) to ensure that “disability is not actually about those of us who are disabled; it is about those with the power to call us disabled” (p. 107).</w:t>
      </w:r>
      <w:r w:rsidR="00700B5B" w:rsidRPr="00D13B67">
        <w:t xml:space="preserve"> Disability is determined by </w:t>
      </w:r>
      <w:r w:rsidR="008365B6" w:rsidRPr="00D13B67">
        <w:t xml:space="preserve">cultures that privilege certain forms of communicating, moving, </w:t>
      </w:r>
      <w:r w:rsidR="00EF2B70" w:rsidRPr="00D13B67">
        <w:t xml:space="preserve">thinking, </w:t>
      </w:r>
      <w:r w:rsidR="008365B6" w:rsidRPr="00D13B67">
        <w:t>or being</w:t>
      </w:r>
      <w:r w:rsidR="00DB5F2A" w:rsidRPr="00D13B67">
        <w:t xml:space="preserve"> </w:t>
      </w:r>
      <w:r w:rsidR="00974C94" w:rsidRPr="00D13B67">
        <w:t>that facilitates</w:t>
      </w:r>
      <w:r w:rsidR="00DB5F2A" w:rsidRPr="00D13B67">
        <w:t xml:space="preserve"> others to be suppressed, oppressed, and not valued</w:t>
      </w:r>
      <w:r w:rsidR="00DB4A3B" w:rsidRPr="00D13B67">
        <w:t>; “societies . . . value certain</w:t>
      </w:r>
      <w:r w:rsidR="007C2B03" w:rsidRPr="00D13B67">
        <w:t xml:space="preserve"> modes [of communication] more than others . . . one mode may be foregrounded and others not</w:t>
      </w:r>
      <w:r w:rsidR="00421D0F" w:rsidRPr="00D13B67">
        <w:t>”</w:t>
      </w:r>
      <w:r w:rsidR="00DB5F2A" w:rsidRPr="00D13B67">
        <w:t xml:space="preserve"> (</w:t>
      </w:r>
      <w:r w:rsidR="00421D0F" w:rsidRPr="00D13B67">
        <w:t xml:space="preserve">Jewitt </w:t>
      </w:r>
      <w:r w:rsidR="00ED7C68" w:rsidRPr="00D13B67">
        <w:t>&amp;</w:t>
      </w:r>
      <w:r w:rsidR="00421D0F" w:rsidRPr="00D13B67">
        <w:t xml:space="preserve"> Kress</w:t>
      </w:r>
      <w:r w:rsidR="00C85BBA" w:rsidRPr="00D13B67">
        <w:t>, 2003, p. 2;</w:t>
      </w:r>
      <w:r w:rsidR="00421D0F" w:rsidRPr="00D13B67">
        <w:t xml:space="preserve"> </w:t>
      </w:r>
      <w:r w:rsidR="00DB5F2A" w:rsidRPr="00D13B67">
        <w:t>Dolmage, 2017).</w:t>
      </w:r>
      <w:r w:rsidR="00974C94" w:rsidRPr="00D13B67">
        <w:t xml:space="preserve"> Where a preference for one mode of access</w:t>
      </w:r>
      <w:r w:rsidR="00E163AA" w:rsidRPr="00D13B67">
        <w:t xml:space="preserve"> </w:t>
      </w:r>
      <w:r w:rsidR="00AF71B7" w:rsidRPr="00D13B67">
        <w:t>exists,</w:t>
      </w:r>
      <w:r w:rsidR="00E163AA" w:rsidRPr="00D13B67">
        <w:t xml:space="preserve"> many are sure to be excluded.</w:t>
      </w:r>
    </w:p>
    <w:p w14:paraId="166B7E66" w14:textId="49BC8D4A" w:rsidR="002F6E9F" w:rsidRPr="00D13B67" w:rsidRDefault="002F6E9F" w:rsidP="002F6E9F">
      <w:pPr>
        <w:pStyle w:val="Heading5"/>
      </w:pPr>
      <w:r w:rsidRPr="00D13B67">
        <w:t>Critical Disability Studies</w:t>
      </w:r>
    </w:p>
    <w:p w14:paraId="7D500288" w14:textId="6B39B98A" w:rsidR="002D4CE6" w:rsidRPr="00D13B67" w:rsidRDefault="002D4CE6" w:rsidP="002D4CE6">
      <w:pPr>
        <w:pStyle w:val="Body"/>
        <w:rPr>
          <w:rFonts w:ascii="Aptos" w:eastAsia="Aptos" w:hAnsi="Aptos" w:cs="Aptos"/>
        </w:rPr>
      </w:pPr>
      <w:r w:rsidRPr="00D13B67">
        <w:t xml:space="preserve">Critical disability studies became an increasingly popular lens for scholarly disability work starting in the mid-2000s (Meekosha </w:t>
      </w:r>
      <w:r w:rsidR="00AC2B0E" w:rsidRPr="00D13B67">
        <w:t>&amp;</w:t>
      </w:r>
      <w:r w:rsidRPr="00D13B67">
        <w:t xml:space="preserve"> Shuttleworth, 2009). Critical disability studies </w:t>
      </w:r>
      <w:r w:rsidR="00AF71B7" w:rsidRPr="00D13B67">
        <w:t>build</w:t>
      </w:r>
      <w:r w:rsidRPr="00D13B67">
        <w:t xml:space="preserve"> on the social model of disability and cente</w:t>
      </w:r>
      <w:r w:rsidR="000B5567" w:rsidRPr="00D13B67">
        <w:t>r</w:t>
      </w:r>
      <w:r w:rsidRPr="00D13B67">
        <w:t xml:space="preserve">s disabled people with a </w:t>
      </w:r>
      <w:r w:rsidRPr="00D13B67">
        <w:lastRenderedPageBreak/>
        <w:t xml:space="preserve">focus on improving their social conditions (Hosking, 2008; Meekosha </w:t>
      </w:r>
      <w:r w:rsidR="000A6521" w:rsidRPr="00D13B67">
        <w:t>&amp;</w:t>
      </w:r>
      <w:r w:rsidRPr="00D13B67">
        <w:t xml:space="preserve"> Shuttleworth, 2009). Critical disability studies </w:t>
      </w:r>
      <w:r w:rsidR="00AF71B7" w:rsidRPr="00D13B67">
        <w:t>employ</w:t>
      </w:r>
      <w:r w:rsidRPr="00D13B67">
        <w:t xml:space="preserve"> deliberate political action to transform society to include disabled people as equal, fully integrated participants (Hosking, 2008). According to </w:t>
      </w:r>
      <w:r w:rsidR="00892B09" w:rsidRPr="00D13B67">
        <w:t>an</w:t>
      </w:r>
      <w:r w:rsidRPr="00D13B67">
        <w:t xml:space="preserve"> overview of critical disability theory, the approach considers the major models of disability with an added emphasis on </w:t>
      </w:r>
      <w:r w:rsidR="004C5F7C" w:rsidRPr="00D13B67">
        <w:t xml:space="preserve">the </w:t>
      </w:r>
      <w:r w:rsidRPr="00D13B67">
        <w:t>multidimensionality and intersectionality of disability (</w:t>
      </w:r>
      <w:r w:rsidR="00892B09" w:rsidRPr="00D13B67">
        <w:t xml:space="preserve">Knox, </w:t>
      </w:r>
      <w:r w:rsidRPr="00D13B67">
        <w:t>2024). Critical disability theory values diversity, the right to self-determination for disabled people, the lived experience of disabled people</w:t>
      </w:r>
      <w:r w:rsidR="00892B09" w:rsidRPr="00D13B67">
        <w:t>, and a</w:t>
      </w:r>
      <w:r w:rsidRPr="00D13B67">
        <w:t xml:space="preserve"> critical analysis of perceptions of normalcy and language that pervades society. Critical disability theory culminates in a call for transformative politics that facilitates and advocates for progressive changes that foster autonomy, equity, and inclusion of all (Knox, 2024). Richard F. Devlin and Dianne Pothier’s </w:t>
      </w:r>
      <w:r w:rsidRPr="00D13B67">
        <w:rPr>
          <w:i/>
        </w:rPr>
        <w:t>Critical Disability Theory</w:t>
      </w:r>
      <w:r w:rsidRPr="00D13B67">
        <w:t xml:space="preserve"> argues that disability is a question of power, politics, and citizenship rather than individual pathology. </w:t>
      </w:r>
      <w:r w:rsidR="00D2192C" w:rsidRPr="00D13B67">
        <w:t>Devlin</w:t>
      </w:r>
      <w:r w:rsidR="00EE6517" w:rsidRPr="00D13B67">
        <w:t xml:space="preserve"> and Pothier (2006) </w:t>
      </w:r>
      <w:r w:rsidRPr="00D13B67">
        <w:t>argue that liberalism “conceptualize[s] disability as misfortune, and privilege[s] normalcy over the abnormal” (p. 2). Critical disability theory treats disability as a relational, political</w:t>
      </w:r>
      <w:r w:rsidR="004C5F7C" w:rsidRPr="00D13B67">
        <w:t>,</w:t>
      </w:r>
      <w:r w:rsidRPr="00D13B67">
        <w:t xml:space="preserve"> and structural phenomenon rooted in power and institutions rather than individual deficiency. Disabled people are dis-citizens systematically denied access and participation, governed through charity, and devalued through accepted norms of productivity. Devlin and Pothier</w:t>
      </w:r>
      <w:r w:rsidR="001D589C" w:rsidRPr="00D13B67">
        <w:t xml:space="preserve"> </w:t>
      </w:r>
      <w:r w:rsidRPr="00D13B67">
        <w:t>argue that ableism pervades institutions and governments as liberalism treats accommodation as exception. Critical disability theory, the authors posit, requires an anti-necessitarian understanding of society (and labour) that rejects productivity as the measure of a person’s worth.</w:t>
      </w:r>
    </w:p>
    <w:p w14:paraId="017E0E6D" w14:textId="07C230D8" w:rsidR="002D4CE6" w:rsidRPr="00D13B67" w:rsidRDefault="002D4CE6" w:rsidP="002D4CE6">
      <w:pPr>
        <w:pStyle w:val="Body"/>
        <w:rPr>
          <w:rFonts w:ascii="Aptos" w:eastAsia="Aptos" w:hAnsi="Aptos" w:cs="Aptos"/>
        </w:rPr>
      </w:pPr>
      <w:r w:rsidRPr="00D13B67">
        <w:lastRenderedPageBreak/>
        <w:t>Critical disability studies, particularly in post-secondary education, focuses on criticism of accommodation</w:t>
      </w:r>
      <w:r w:rsidR="00432FA2" w:rsidRPr="00D13B67">
        <w:t>s</w:t>
      </w:r>
      <w:r w:rsidRPr="00D13B67">
        <w:t xml:space="preserve"> as exclusionary and inequitable (Cook-Sather </w:t>
      </w:r>
      <w:r w:rsidR="00AB0D96" w:rsidRPr="00D13B67">
        <w:t>&amp;</w:t>
      </w:r>
      <w:r w:rsidRPr="00D13B67">
        <w:t xml:space="preserve"> Cook-Sather, 2023). Critical disability studies positions students as experts on their own experience and provides “agency in the negotiation of the production of the spaces in which they learn” (p. 10). While accommodations currently dominate higher-education's approach to disability, critical disability </w:t>
      </w:r>
      <w:r w:rsidR="00432FA2" w:rsidRPr="00D13B67">
        <w:t>emphasizes</w:t>
      </w:r>
      <w:r w:rsidRPr="00D13B67">
        <w:t xml:space="preserve"> an equitable approach to access</w:t>
      </w:r>
      <w:r w:rsidR="00432FA2" w:rsidRPr="00D13B67">
        <w:t>. Critical disability theory</w:t>
      </w:r>
      <w:r w:rsidRPr="00D13B67">
        <w:t xml:space="preserve"> recognizes that multiple methods exist to benefit all learners</w:t>
      </w:r>
      <w:r w:rsidR="00757889" w:rsidRPr="00D13B67">
        <w:t xml:space="preserve"> and that</w:t>
      </w:r>
      <w:r w:rsidRPr="00D13B67">
        <w:t xml:space="preserve"> centering discussions of access needs in place of accommodations, acknowledging students as experts, understanding positionality and power, influencing peers and institutional practices and culture to move away from ableist views, and engaging meaningfully with disabled students and their experience</w:t>
      </w:r>
      <w:r w:rsidR="00757889" w:rsidRPr="00D13B67">
        <w:t xml:space="preserve"> are essential to meaningful progress</w:t>
      </w:r>
      <w:r w:rsidR="007959C8" w:rsidRPr="00D13B67">
        <w:t>.</w:t>
      </w:r>
      <w:r w:rsidRPr="00D13B67">
        <w:t xml:space="preserve"> A critical disability view of post-secondary education may appear radical, even </w:t>
      </w:r>
      <w:r w:rsidR="008470BC" w:rsidRPr="00D13B67">
        <w:t>improbable</w:t>
      </w:r>
      <w:r w:rsidR="00D84A4D" w:rsidRPr="00D13B67">
        <w:t>;</w:t>
      </w:r>
      <w:r w:rsidRPr="00D13B67">
        <w:t xml:space="preserve"> </w:t>
      </w:r>
      <w:r w:rsidR="00D84A4D" w:rsidRPr="00D13B67">
        <w:t>but given</w:t>
      </w:r>
      <w:r w:rsidRPr="00D13B67">
        <w:t xml:space="preserve"> the number of disabled students and the unsustainable model of academic accommodations, post-secondary education needs radical change.</w:t>
      </w:r>
    </w:p>
    <w:p w14:paraId="50462B47" w14:textId="1F52ABCD" w:rsidR="00571827" w:rsidRPr="00D13B67" w:rsidRDefault="00C13CB3" w:rsidP="00EF125E">
      <w:pPr>
        <w:pStyle w:val="Heading4"/>
      </w:pPr>
      <w:bookmarkStart w:id="21" w:name="_Toc228867976"/>
      <w:r w:rsidRPr="00D13B67">
        <w:t>2.2</w:t>
      </w:r>
      <w:r w:rsidR="002D4CE6" w:rsidRPr="00D13B67">
        <w:t>.</w:t>
      </w:r>
      <w:r w:rsidR="00C07D14" w:rsidRPr="00D13B67">
        <w:t>2</w:t>
      </w:r>
      <w:r w:rsidR="002D4CE6" w:rsidRPr="00D13B67">
        <w:t xml:space="preserve"> Disability Research and Methodology</w:t>
      </w:r>
      <w:bookmarkEnd w:id="21"/>
    </w:p>
    <w:p w14:paraId="18036D4B" w14:textId="47CF917E" w:rsidR="004D69CB" w:rsidRPr="00D13B67" w:rsidRDefault="002D4CE6" w:rsidP="002E72A8">
      <w:pPr>
        <w:pStyle w:val="Body"/>
      </w:pPr>
      <w:r w:rsidRPr="00D13B67">
        <w:t xml:space="preserve">The definition of disability greatly impacts the study of disability. Modern disability studies </w:t>
      </w:r>
      <w:r w:rsidR="009612F8" w:rsidRPr="00D13B67">
        <w:t>emphasize</w:t>
      </w:r>
      <w:r w:rsidRPr="00D13B67">
        <w:t xml:space="preserve"> a social model of disability to ensure the methodology of disability research “involves scrutinizing not bodily or mental impairments but the social norms that define particular attributes as impairments, as well as the social conditions that concentrate stigmatized attributes in particular populations” (Minich, 2016, p. 3). Minich strongly asserts that disability studies </w:t>
      </w:r>
      <w:r w:rsidR="009612F8" w:rsidRPr="00D13B67">
        <w:t>have</w:t>
      </w:r>
      <w:r w:rsidRPr="00D13B67">
        <w:t xml:space="preserve"> evolved from the medical model and moved away from the insistence of fixing disability to the real work of fixing society (2016). This is </w:t>
      </w:r>
      <w:r w:rsidRPr="00D13B67">
        <w:lastRenderedPageBreak/>
        <w:t xml:space="preserve">largely in response to, as Mike Oliver </w:t>
      </w:r>
      <w:r w:rsidR="007959C8" w:rsidRPr="00D13B67">
        <w:t>(1992)</w:t>
      </w:r>
      <w:r w:rsidRPr="00D13B67">
        <w:t xml:space="preserve"> notes, disabled people “increasingly </w:t>
      </w:r>
      <w:proofErr w:type="spellStart"/>
      <w:r w:rsidRPr="00D13B67">
        <w:t>analys</w:t>
      </w:r>
      <w:proofErr w:type="spellEnd"/>
      <w:r w:rsidRPr="00D13B67">
        <w:t>[</w:t>
      </w:r>
      <w:proofErr w:type="spellStart"/>
      <w:r w:rsidRPr="00D13B67">
        <w:t>ing</w:t>
      </w:r>
      <w:proofErr w:type="spellEnd"/>
      <w:r w:rsidRPr="00D13B67">
        <w:t xml:space="preserve">] their segregation, inequality and poverty in terms of discrimination and oppression” which </w:t>
      </w:r>
      <w:r w:rsidR="009612F8" w:rsidRPr="00D13B67">
        <w:t>led</w:t>
      </w:r>
      <w:r w:rsidRPr="00D13B67">
        <w:t xml:space="preserve"> disabled people to “see research as a violation of their experience, as irrelevant to their needs and as failing to improve their material circumstances and quality of life” (</w:t>
      </w:r>
      <w:r w:rsidR="00186B24" w:rsidRPr="00D13B67">
        <w:t>p. 105</w:t>
      </w:r>
      <w:r w:rsidRPr="00D13B67">
        <w:t xml:space="preserve">). This violation contributes to the existing oppression disabled people experience. </w:t>
      </w:r>
      <w:r w:rsidR="004D69CB" w:rsidRPr="00D13B67">
        <w:t xml:space="preserve">Disability studies </w:t>
      </w:r>
      <w:r w:rsidR="00AF71B7" w:rsidRPr="00D13B67">
        <w:t>do</w:t>
      </w:r>
      <w:r w:rsidR="008C5F9D" w:rsidRPr="00D13B67">
        <w:t xml:space="preserve"> not seek to contribute </w:t>
      </w:r>
      <w:r w:rsidR="00CF1081" w:rsidRPr="00D13B67">
        <w:t xml:space="preserve">knowledge </w:t>
      </w:r>
      <w:r w:rsidR="008C5F9D" w:rsidRPr="00D13B67">
        <w:t>to the status quo’s management of disabled people</w:t>
      </w:r>
      <w:r w:rsidR="00C25037" w:rsidRPr="00D13B67">
        <w:t xml:space="preserve"> </w:t>
      </w:r>
      <w:r w:rsidR="00EF125E" w:rsidRPr="00D13B67">
        <w:t>or to enhance the power and prestige of disciplines responsible for the appropriation of disabled knowledge and the oppression of disabled people (</w:t>
      </w:r>
      <w:proofErr w:type="spellStart"/>
      <w:r w:rsidR="00EF125E" w:rsidRPr="00D13B67">
        <w:t>Titchkosky</w:t>
      </w:r>
      <w:proofErr w:type="spellEnd"/>
      <w:r w:rsidR="00EF125E" w:rsidRPr="00D13B67">
        <w:t>, 2011).</w:t>
      </w:r>
    </w:p>
    <w:p w14:paraId="7E847FCF" w14:textId="6303A677" w:rsidR="002D4CE6" w:rsidRPr="00D13B67" w:rsidRDefault="002D4CE6" w:rsidP="002D4CE6">
      <w:pPr>
        <w:pStyle w:val="Body"/>
      </w:pPr>
      <w:r w:rsidRPr="00D13B67">
        <w:t xml:space="preserve">While research about disabled people has purported to be for disabled people, critics argue that research is dominated by able-bodied researchers which produces </w:t>
      </w:r>
      <w:r w:rsidR="00600DAF" w:rsidRPr="00D13B67">
        <w:t>studies</w:t>
      </w:r>
      <w:r w:rsidRPr="00D13B67">
        <w:t xml:space="preserve"> that </w:t>
      </w:r>
      <w:r w:rsidR="00600DAF" w:rsidRPr="00D13B67">
        <w:t>are</w:t>
      </w:r>
      <w:r w:rsidRPr="00D13B67">
        <w:t xml:space="preserve"> exploitative, oppressive, and </w:t>
      </w:r>
      <w:r w:rsidR="00600DAF" w:rsidRPr="00D13B67">
        <w:t>do</w:t>
      </w:r>
      <w:r w:rsidRPr="00D13B67">
        <w:t xml:space="preserve"> not represent disabled people (</w:t>
      </w:r>
      <w:proofErr w:type="spellStart"/>
      <w:r w:rsidRPr="00D13B67">
        <w:t>Inckle</w:t>
      </w:r>
      <w:proofErr w:type="spellEnd"/>
      <w:r w:rsidRPr="00D13B67">
        <w:t xml:space="preserve"> et al., 2023). Assuming a social model of disability or approaching disability with a critical lens does not solve these issues but greatly contributes to undoing the harms of prior research. The legitimacy of disability studies research, particularly from the perspective of disabled people, relies on avoiding exploitation and </w:t>
      </w:r>
      <w:r w:rsidR="007B3CF7" w:rsidRPr="00D13B67">
        <w:t>unequal practices</w:t>
      </w:r>
      <w:r w:rsidRPr="00D13B67">
        <w:t xml:space="preserve"> to ensure findings and outcomes directly benefit the lives of disabled people. Incorporating inclusive design into disability studies ensures disabled people are included, involved, and influence the better practices of others. Only by including and empowering those </w:t>
      </w:r>
      <w:r w:rsidR="00F72BA4" w:rsidRPr="00D13B67">
        <w:t>who</w:t>
      </w:r>
      <w:r w:rsidRPr="00D13B67">
        <w:t xml:space="preserve"> are denied access can we improve access.</w:t>
      </w:r>
    </w:p>
    <w:p w14:paraId="25C3BCAB" w14:textId="1C3B6A8D" w:rsidR="0057212B" w:rsidRPr="00D13B67" w:rsidRDefault="002D4CE6" w:rsidP="00276389">
      <w:pPr>
        <w:pStyle w:val="Body"/>
      </w:pPr>
      <w:r w:rsidRPr="00D13B67">
        <w:t xml:space="preserve">A common reprise in the disability (and other oppressed) communities is the idea of ‘nothing about us, without us.’ Disabled people do not want research done on them or </w:t>
      </w:r>
      <w:r w:rsidRPr="00D13B67">
        <w:lastRenderedPageBreak/>
        <w:t>decisions made for them without active participation and autonomy. The application of the phrase in the disability community was most famously codified by James I. Charl</w:t>
      </w:r>
      <w:r w:rsidR="00CF1CDD" w:rsidRPr="00D13B67">
        <w:t>ton’s</w:t>
      </w:r>
      <w:r w:rsidRPr="00D13B67">
        <w:t xml:space="preserve"> </w:t>
      </w:r>
      <w:r w:rsidR="007B3CF7" w:rsidRPr="00D13B67">
        <w:t xml:space="preserve">1998 </w:t>
      </w:r>
      <w:r w:rsidRPr="00D13B67">
        <w:t xml:space="preserve">work </w:t>
      </w:r>
      <w:r w:rsidRPr="00D13B67">
        <w:rPr>
          <w:i/>
          <w:iCs/>
        </w:rPr>
        <w:t>Nothing About us Without us</w:t>
      </w:r>
      <w:r w:rsidRPr="00D13B67">
        <w:t xml:space="preserve"> in which he cites South African disability leaders using the phrase, who </w:t>
      </w:r>
      <w:r w:rsidR="006075A0" w:rsidRPr="00D13B67">
        <w:t>themselves</w:t>
      </w:r>
      <w:r w:rsidRPr="00D13B67">
        <w:t xml:space="preserve"> credit Eastern European disability advocates. Kat Holmes </w:t>
      </w:r>
      <w:r w:rsidR="0068500C" w:rsidRPr="00D13B67">
        <w:t>(2018)</w:t>
      </w:r>
      <w:r w:rsidRPr="00D13B67">
        <w:t xml:space="preserve"> includes the Latin translation “Nihil de nobis, sine nobis”, which lends credence to the origin story presented by </w:t>
      </w:r>
      <w:r w:rsidR="00CF1CDD" w:rsidRPr="00D13B67">
        <w:t>Charlton</w:t>
      </w:r>
      <w:r w:rsidR="0068500C" w:rsidRPr="00D13B67">
        <w:t xml:space="preserve"> (p. 74)</w:t>
      </w:r>
      <w:r w:rsidRPr="00D13B67">
        <w:t xml:space="preserve">. </w:t>
      </w:r>
      <w:r w:rsidRPr="00D13B67">
        <w:rPr>
          <w:i/>
          <w:iCs/>
        </w:rPr>
        <w:t>Nihel de nobis, sine nobis</w:t>
      </w:r>
      <w:r w:rsidRPr="00D13B67">
        <w:t xml:space="preserve"> may be a version of </w:t>
      </w:r>
      <w:r w:rsidRPr="00D13B67">
        <w:rPr>
          <w:i/>
          <w:iCs/>
        </w:rPr>
        <w:t>Nihil novi nisi commune consensus,</w:t>
      </w:r>
      <w:r w:rsidRPr="00D13B67">
        <w:t xml:space="preserve"> Latin for "nothing new without the common consent" from a 16</w:t>
      </w:r>
      <w:r w:rsidRPr="00D13B67">
        <w:rPr>
          <w:vertAlign w:val="superscript"/>
        </w:rPr>
        <w:t>th</w:t>
      </w:r>
      <w:r w:rsidRPr="00D13B67">
        <w:t xml:space="preserve"> century Polish statute</w:t>
      </w:r>
      <w:r w:rsidR="00543CF3" w:rsidRPr="00D13B67">
        <w:t xml:space="preserve"> (Senate of the Republic of Poland, 2024)</w:t>
      </w:r>
      <w:r w:rsidRPr="00D13B67">
        <w:t>. Ensuring the inclusion of disabled people in research is essential to the ethos of ‘nothing about us without us.’ Applying inclusive design principles</w:t>
      </w:r>
      <w:r w:rsidR="00774B51" w:rsidRPr="00D13B67">
        <w:t>, particularly centering the experience of those excluded from existing designs</w:t>
      </w:r>
      <w:r w:rsidRPr="00D13B67">
        <w:t xml:space="preserve"> to the creation and curation of digital learning materials</w:t>
      </w:r>
      <w:r w:rsidR="00B70DDD" w:rsidRPr="00D13B67">
        <w:t>,</w:t>
      </w:r>
      <w:r w:rsidRPr="00D13B67">
        <w:t xml:space="preserve"> presents a powerful commitment to this ideal.</w:t>
      </w:r>
    </w:p>
    <w:p w14:paraId="6D54A887" w14:textId="354DF1C8" w:rsidR="002D4CE6" w:rsidRPr="00D13B67" w:rsidRDefault="00C13CB3" w:rsidP="00C07D14">
      <w:pPr>
        <w:pStyle w:val="Heading4"/>
        <w:rPr>
          <w:sz w:val="24"/>
          <w:szCs w:val="24"/>
        </w:rPr>
      </w:pPr>
      <w:bookmarkStart w:id="22" w:name="_Toc228867977"/>
      <w:r w:rsidRPr="00D13B67">
        <w:t>2.2</w:t>
      </w:r>
      <w:r w:rsidR="002D4CE6" w:rsidRPr="00D13B67">
        <w:t>.</w:t>
      </w:r>
      <w:r w:rsidR="00C07D14" w:rsidRPr="00D13B67">
        <w:t>3</w:t>
      </w:r>
      <w:r w:rsidR="002D4CE6" w:rsidRPr="00D13B67">
        <w:t xml:space="preserve"> Access</w:t>
      </w:r>
      <w:bookmarkEnd w:id="22"/>
    </w:p>
    <w:p w14:paraId="2367CE8C" w14:textId="551DEEE8" w:rsidR="00FF314D" w:rsidRPr="00D13B67" w:rsidRDefault="002D4CE6" w:rsidP="002D4CE6">
      <w:pPr>
        <w:pStyle w:val="Body"/>
      </w:pPr>
      <w:r w:rsidRPr="00D13B67">
        <w:t>The evolution of disability studies is an important consideration in any research involving disabled people. In the context of digital learning material</w:t>
      </w:r>
      <w:r w:rsidR="00774B51" w:rsidRPr="00D13B67">
        <w:t>,</w:t>
      </w:r>
      <w:r w:rsidRPr="00D13B67">
        <w:t xml:space="preserve"> focusing on access rather than impairment ensures fixes are focused on the problems that restrict access, not individuals. That </w:t>
      </w:r>
      <w:r w:rsidR="00774B51" w:rsidRPr="00D13B67">
        <w:t>intentionality</w:t>
      </w:r>
      <w:r w:rsidRPr="00D13B67">
        <w:t xml:space="preserve"> is not to downplay the identity of disabled people or the importance of their lived experience. Focusing on access ensures that </w:t>
      </w:r>
      <w:r w:rsidR="00BC1538" w:rsidRPr="00D13B67">
        <w:t>inclusion is</w:t>
      </w:r>
      <w:r w:rsidRPr="00D13B67">
        <w:t xml:space="preserve"> the priority of the research without becoming bogged down in </w:t>
      </w:r>
      <w:r w:rsidR="00BC1538" w:rsidRPr="00D13B67">
        <w:t xml:space="preserve">empty </w:t>
      </w:r>
      <w:r w:rsidRPr="00D13B67">
        <w:t xml:space="preserve">provocations or performative </w:t>
      </w:r>
      <w:r w:rsidR="00774B51" w:rsidRPr="00D13B67">
        <w:t>philosophical debate</w:t>
      </w:r>
      <w:r w:rsidRPr="00D13B67">
        <w:t xml:space="preserve">. In </w:t>
      </w:r>
      <w:r w:rsidRPr="00D13B67">
        <w:rPr>
          <w:i/>
          <w:iCs/>
        </w:rPr>
        <w:t>The Question of Access</w:t>
      </w:r>
      <w:r w:rsidRPr="00D13B67">
        <w:t xml:space="preserve">, Tanya </w:t>
      </w:r>
      <w:proofErr w:type="spellStart"/>
      <w:r w:rsidRPr="00D13B67">
        <w:t>Titchkosky</w:t>
      </w:r>
      <w:proofErr w:type="spellEnd"/>
      <w:r w:rsidRPr="00D13B67">
        <w:t xml:space="preserve"> argues that access is not about technical fixes or accommodations, but a question of understanding how society and organizations decide who belongs (Titchkosky, 2011). </w:t>
      </w:r>
      <w:r w:rsidR="00AD5F46" w:rsidRPr="00D13B67">
        <w:lastRenderedPageBreak/>
        <w:t xml:space="preserve">Discussions of inclusion and accessibility </w:t>
      </w:r>
      <w:r w:rsidR="005C7866" w:rsidRPr="00D13B67">
        <w:t xml:space="preserve">often only occur when exclusion and access are already perceivable. </w:t>
      </w:r>
      <w:r w:rsidR="0081262C" w:rsidRPr="00D13B67">
        <w:t xml:space="preserve">Like </w:t>
      </w:r>
      <w:r w:rsidR="00B13B19" w:rsidRPr="00D13B67">
        <w:t xml:space="preserve">how "a person with a disability only feels she is disabled when confronted with discrimination” (Pfeiffer, 2002, p. 5), </w:t>
      </w:r>
      <w:r w:rsidR="0081262C" w:rsidRPr="00D13B67">
        <w:t>“inaccessibility can be perceived when access starts to become a question”</w:t>
      </w:r>
      <w:r w:rsidR="00B13B19" w:rsidRPr="00D13B67">
        <w:t xml:space="preserve"> (</w:t>
      </w:r>
      <w:proofErr w:type="spellStart"/>
      <w:r w:rsidR="00B13B19" w:rsidRPr="00D13B67">
        <w:t>Titchkosky</w:t>
      </w:r>
      <w:proofErr w:type="spellEnd"/>
      <w:r w:rsidR="00B13B19" w:rsidRPr="00D13B67">
        <w:t>, 2011, p. 62)</w:t>
      </w:r>
      <w:r w:rsidR="005C7866" w:rsidRPr="00D13B67">
        <w:t xml:space="preserve">. </w:t>
      </w:r>
      <w:r w:rsidR="00AE5352" w:rsidRPr="00D13B67">
        <w:t xml:space="preserve">Lack of access, as </w:t>
      </w:r>
      <w:proofErr w:type="spellStart"/>
      <w:r w:rsidR="00AE5352" w:rsidRPr="00D13B67">
        <w:t>Titchkosky</w:t>
      </w:r>
      <w:proofErr w:type="spellEnd"/>
      <w:r w:rsidR="00AE5352" w:rsidRPr="00D13B67">
        <w:t xml:space="preserve"> argues, </w:t>
      </w:r>
      <w:r w:rsidR="003C7ABA" w:rsidRPr="00D13B67">
        <w:t xml:space="preserve">is naturalized using language such as ‘this building wasn’t built with wheelchair users in mind’ </w:t>
      </w:r>
      <w:r w:rsidR="006D2AC3" w:rsidRPr="00D13B67">
        <w:t>to present exclusion as reasonable</w:t>
      </w:r>
      <w:r w:rsidR="00AD51F4" w:rsidRPr="00D13B67">
        <w:t>, natural, and justifiable.</w:t>
      </w:r>
      <w:r w:rsidR="00F21CD2" w:rsidRPr="00D13B67">
        <w:t xml:space="preserve"> Access, or the justification of inaccessibility are often addressed through bureaucracy and temporary</w:t>
      </w:r>
      <w:r w:rsidR="002C413D" w:rsidRPr="00D13B67">
        <w:t>, or consumptive, access.</w:t>
      </w:r>
    </w:p>
    <w:p w14:paraId="310F6779" w14:textId="5D586817" w:rsidR="00361C0D" w:rsidRPr="00D13B67" w:rsidRDefault="002D4CE6" w:rsidP="005C7866">
      <w:pPr>
        <w:pStyle w:val="Body"/>
      </w:pPr>
      <w:r w:rsidRPr="00D13B67">
        <w:t>Accommodations are an example of consumptive access that allows people to enter a space or access a text, while transformative access questions the construct of allowing (Dolmage, 2017). By creating and choosing accessible digital learning materials, instructors could remove at least one barrier</w:t>
      </w:r>
      <w:r w:rsidR="00774B51" w:rsidRPr="00D13B67">
        <w:t xml:space="preserve"> to allowing</w:t>
      </w:r>
      <w:r w:rsidRPr="00D13B67">
        <w:t>. Post-secondary institutions publicize commitments to equity and diversity but in practice treat disability as a problem that can be excluded, segregated to compliance</w:t>
      </w:r>
      <w:r w:rsidR="00A77C33" w:rsidRPr="00D13B67">
        <w:t xml:space="preserve"> efforts</w:t>
      </w:r>
      <w:r w:rsidRPr="00D13B67">
        <w:t xml:space="preserve">, or deferred to future-focused plans and policy timelines but excluded from </w:t>
      </w:r>
      <w:r w:rsidR="00707E9E" w:rsidRPr="00D13B67">
        <w:t>everyday</w:t>
      </w:r>
      <w:r w:rsidRPr="00D13B67">
        <w:t xml:space="preserve"> </w:t>
      </w:r>
      <w:r w:rsidR="00A77C33" w:rsidRPr="00D13B67">
        <w:t xml:space="preserve">practice </w:t>
      </w:r>
      <w:r w:rsidRPr="00D13B67">
        <w:t>(</w:t>
      </w:r>
      <w:proofErr w:type="spellStart"/>
      <w:r w:rsidRPr="00D13B67">
        <w:t>Titchkosky</w:t>
      </w:r>
      <w:proofErr w:type="spellEnd"/>
      <w:r w:rsidRPr="00D13B67">
        <w:t>, 2011). A nuanced, more refined consideration of disability focuses on a “mismatch” between people’s needs and the environment’s affordances (Holmes, 2018</w:t>
      </w:r>
      <w:r w:rsidR="00CB244C" w:rsidRPr="00D13B67">
        <w:t xml:space="preserve">; </w:t>
      </w:r>
      <w:r w:rsidR="00CB244C" w:rsidRPr="00D13B67">
        <w:rPr>
          <w:rFonts w:ascii="Aptos" w:eastAsia="Aptos" w:hAnsi="Aptos" w:cs="Aptos"/>
        </w:rPr>
        <w:t>Trybus et al., 2019</w:t>
      </w:r>
      <w:r w:rsidRPr="00D13B67">
        <w:t xml:space="preserve">). When the environment, in this case digital learning material, prohibits access by design, there is nothing wrong with the users. There </w:t>
      </w:r>
      <w:r w:rsidR="005B4515" w:rsidRPr="00D13B67">
        <w:t>are</w:t>
      </w:r>
      <w:r w:rsidRPr="00D13B67">
        <w:t>, however, significant issues with the material</w:t>
      </w:r>
      <w:r w:rsidR="00BC1538" w:rsidRPr="00D13B67">
        <w:t>. When</w:t>
      </w:r>
      <w:r w:rsidR="001959E8" w:rsidRPr="00D13B67">
        <w:t xml:space="preserve"> </w:t>
      </w:r>
      <w:r w:rsidR="000F6002" w:rsidRPr="00D13B67">
        <w:t xml:space="preserve">required readings, audio and video material, websites, digital learning platforms, </w:t>
      </w:r>
      <w:r w:rsidR="005B4515" w:rsidRPr="00D13B67">
        <w:t>library resources, and digital communications</w:t>
      </w:r>
      <w:r w:rsidR="00BC1538" w:rsidRPr="00D13B67">
        <w:t xml:space="preserve"> are not accessible, some are excluded.</w:t>
      </w:r>
    </w:p>
    <w:p w14:paraId="2028486C" w14:textId="4C238F2D" w:rsidR="002D4CE6" w:rsidRPr="00D13B67" w:rsidRDefault="00510B54" w:rsidP="00EB2B3C">
      <w:pPr>
        <w:pStyle w:val="Heading3"/>
      </w:pPr>
      <w:bookmarkStart w:id="23" w:name="_Toc228867978"/>
      <w:r w:rsidRPr="00D13B67">
        <w:lastRenderedPageBreak/>
        <w:t>2.</w:t>
      </w:r>
      <w:r w:rsidR="0086121E" w:rsidRPr="00D13B67">
        <w:t>3</w:t>
      </w:r>
      <w:r w:rsidR="002D4CE6" w:rsidRPr="00D13B67">
        <w:t xml:space="preserve"> Accessibility Legislation</w:t>
      </w:r>
      <w:bookmarkEnd w:id="23"/>
    </w:p>
    <w:p w14:paraId="32136511" w14:textId="280C1961" w:rsidR="00D826AE" w:rsidRPr="00D13B67" w:rsidRDefault="00B85395" w:rsidP="0080241A">
      <w:pPr>
        <w:pStyle w:val="Body"/>
        <w:rPr>
          <w:rFonts w:ascii="Aptos" w:eastAsia="Aptos" w:hAnsi="Aptos" w:cs="Aptos"/>
        </w:rPr>
      </w:pPr>
      <w:r w:rsidRPr="00D13B67">
        <w:t>Many jurisdictions have enacted</w:t>
      </w:r>
      <w:r w:rsidR="00C94DAC" w:rsidRPr="00D13B67">
        <w:t xml:space="preserve"> legislation </w:t>
      </w:r>
      <w:r w:rsidR="004D7F1C" w:rsidRPr="00D13B67">
        <w:t>intended to increase the overall accessibility of built environments, services, education, and information and communication technology. What follows is a</w:t>
      </w:r>
      <w:r w:rsidR="003F7CC8" w:rsidRPr="00D13B67">
        <w:t xml:space="preserve">n </w:t>
      </w:r>
      <w:r w:rsidR="004D7F1C" w:rsidRPr="00D13B67">
        <w:t xml:space="preserve">overview of accessibility legislation with consideration of how </w:t>
      </w:r>
      <w:r w:rsidR="003F7CC8" w:rsidRPr="00D13B67">
        <w:t>those laws have</w:t>
      </w:r>
      <w:r w:rsidR="004D7F1C" w:rsidRPr="00D13B67">
        <w:t xml:space="preserve"> influence</w:t>
      </w:r>
      <w:r w:rsidR="003F7CC8" w:rsidRPr="00D13B67">
        <w:t>d</w:t>
      </w:r>
      <w:r w:rsidR="004D7F1C" w:rsidRPr="00D13B67">
        <w:t xml:space="preserve"> </w:t>
      </w:r>
      <w:r w:rsidR="00D42C81" w:rsidRPr="00D13B67">
        <w:t xml:space="preserve">digital accessibility and </w:t>
      </w:r>
      <w:r w:rsidR="004D7F1C" w:rsidRPr="00D13B67">
        <w:t xml:space="preserve">the accessibility of digital learning material. </w:t>
      </w:r>
      <w:r w:rsidR="003F7CC8" w:rsidRPr="00D13B67">
        <w:t>D</w:t>
      </w:r>
      <w:r w:rsidR="00D42C81" w:rsidRPr="00D13B67">
        <w:t xml:space="preserve">igital accessibility </w:t>
      </w:r>
      <w:r w:rsidR="003F7CC8" w:rsidRPr="00D13B67">
        <w:t>encompasses</w:t>
      </w:r>
      <w:r w:rsidR="00D42C81" w:rsidRPr="00D13B67">
        <w:t xml:space="preserve"> an effort </w:t>
      </w:r>
      <w:r w:rsidR="00FB74B9" w:rsidRPr="00D13B67">
        <w:t xml:space="preserve">to </w:t>
      </w:r>
      <w:r w:rsidR="00D42C81" w:rsidRPr="00D13B67">
        <w:t>ensure that websites, software, applications and multimedia are usable by everyone (</w:t>
      </w:r>
      <w:r w:rsidR="00D72D2F" w:rsidRPr="00D13B67">
        <w:rPr>
          <w:rFonts w:ascii="Aptos" w:eastAsia="Aptos" w:hAnsi="Aptos" w:cs="Aptos"/>
        </w:rPr>
        <w:t>W3C</w:t>
      </w:r>
      <w:r w:rsidR="00D42C81" w:rsidRPr="00D13B67">
        <w:rPr>
          <w:rFonts w:ascii="Aptos" w:eastAsia="Aptos" w:hAnsi="Aptos" w:cs="Aptos"/>
        </w:rPr>
        <w:t xml:space="preserve"> Web </w:t>
      </w:r>
      <w:r w:rsidR="00D72D2F" w:rsidRPr="00D13B67">
        <w:rPr>
          <w:rFonts w:ascii="Aptos" w:eastAsia="Aptos" w:hAnsi="Aptos" w:cs="Aptos"/>
        </w:rPr>
        <w:t>Accessibility Initiative, 2024</w:t>
      </w:r>
      <w:r w:rsidR="00F363BC" w:rsidRPr="00D13B67">
        <w:rPr>
          <w:rFonts w:ascii="Aptos" w:eastAsia="Aptos" w:hAnsi="Aptos" w:cs="Aptos"/>
        </w:rPr>
        <w:t>a</w:t>
      </w:r>
      <w:r w:rsidR="00D42C81" w:rsidRPr="00D13B67">
        <w:rPr>
          <w:rFonts w:ascii="Aptos" w:eastAsia="Aptos" w:hAnsi="Aptos" w:cs="Aptos"/>
        </w:rPr>
        <w:t xml:space="preserve">). Considering a social model of disability, digital accessibility addresses issues in the design of technology instead of the needs of specific individuals. Inaccessible content excludes people with disabilities and contributes to a digital divide between those whose required technology can interact with content and those whose </w:t>
      </w:r>
      <w:r w:rsidR="00744CBD" w:rsidRPr="00D13B67">
        <w:rPr>
          <w:rFonts w:ascii="Aptos" w:eastAsia="Aptos" w:hAnsi="Aptos" w:cs="Aptos"/>
        </w:rPr>
        <w:t xml:space="preserve">required </w:t>
      </w:r>
      <w:r w:rsidR="00D42C81" w:rsidRPr="00D13B67">
        <w:rPr>
          <w:rFonts w:ascii="Aptos" w:eastAsia="Aptos" w:hAnsi="Aptos" w:cs="Aptos"/>
        </w:rPr>
        <w:t xml:space="preserve">technology cannot (Fennelly-Atkinson et al., 2022). </w:t>
      </w:r>
      <w:r w:rsidR="00744CBD" w:rsidRPr="00D13B67">
        <w:rPr>
          <w:rFonts w:ascii="Aptos" w:eastAsia="Aptos" w:hAnsi="Aptos" w:cs="Aptos"/>
        </w:rPr>
        <w:t>A</w:t>
      </w:r>
      <w:r w:rsidR="00D42C81" w:rsidRPr="00D13B67">
        <w:rPr>
          <w:rFonts w:ascii="Aptos" w:eastAsia="Aptos" w:hAnsi="Aptos" w:cs="Aptos"/>
        </w:rPr>
        <w:t>ccessible digital content can be engaged with and consumed by all users, regardless of disability or technology used</w:t>
      </w:r>
      <w:r w:rsidR="00A075CF" w:rsidRPr="00D13B67">
        <w:rPr>
          <w:rFonts w:ascii="Aptos" w:eastAsia="Aptos" w:hAnsi="Aptos" w:cs="Aptos"/>
        </w:rPr>
        <w:t>, without delay or modification</w:t>
      </w:r>
      <w:r w:rsidR="00D42C81" w:rsidRPr="00D13B67">
        <w:rPr>
          <w:rFonts w:ascii="Aptos" w:eastAsia="Aptos" w:hAnsi="Aptos" w:cs="Aptos"/>
        </w:rPr>
        <w:t>; accessibility is a proactive measure for all whereas accommodation is a reactive measure for an individual (McGowan, 2018).</w:t>
      </w:r>
      <w:r w:rsidR="00E21354" w:rsidRPr="00D13B67">
        <w:rPr>
          <w:rFonts w:ascii="Aptos" w:eastAsia="Aptos" w:hAnsi="Aptos" w:cs="Aptos"/>
        </w:rPr>
        <w:t xml:space="preserve"> </w:t>
      </w:r>
      <w:r w:rsidR="00DC7A19" w:rsidRPr="00D13B67">
        <w:rPr>
          <w:rFonts w:ascii="Aptos" w:eastAsia="Aptos" w:hAnsi="Aptos" w:cs="Aptos"/>
        </w:rPr>
        <w:t>Some examples</w:t>
      </w:r>
      <w:r w:rsidR="00E21354" w:rsidRPr="00D13B67">
        <w:rPr>
          <w:rFonts w:ascii="Aptos" w:eastAsia="Aptos" w:hAnsi="Aptos" w:cs="Aptos"/>
        </w:rPr>
        <w:t xml:space="preserve"> of digital learning material</w:t>
      </w:r>
      <w:r w:rsidR="00DC7A19" w:rsidRPr="00D13B67">
        <w:rPr>
          <w:rFonts w:ascii="Aptos" w:eastAsia="Aptos" w:hAnsi="Aptos" w:cs="Aptos"/>
        </w:rPr>
        <w:t xml:space="preserve"> that</w:t>
      </w:r>
      <w:r w:rsidR="001C26F2" w:rsidRPr="00D13B67">
        <w:rPr>
          <w:rFonts w:ascii="Aptos" w:eastAsia="Aptos" w:hAnsi="Aptos" w:cs="Aptos"/>
        </w:rPr>
        <w:t xml:space="preserve"> are often more accessible</w:t>
      </w:r>
      <w:r w:rsidR="00D826AE" w:rsidRPr="00D13B67">
        <w:rPr>
          <w:rFonts w:ascii="Aptos" w:eastAsia="Aptos" w:hAnsi="Aptos" w:cs="Aptos"/>
        </w:rPr>
        <w:t xml:space="preserve"> are:</w:t>
      </w:r>
    </w:p>
    <w:p w14:paraId="007F12AB" w14:textId="7144D6D9" w:rsidR="00D826AE" w:rsidRPr="00D13B67" w:rsidRDefault="00D826AE" w:rsidP="00D826AE">
      <w:pPr>
        <w:pStyle w:val="ListParagraph"/>
        <w:numPr>
          <w:ilvl w:val="0"/>
          <w:numId w:val="15"/>
        </w:numPr>
      </w:pPr>
      <w:r w:rsidRPr="00D13B67">
        <w:t>M</w:t>
      </w:r>
      <w:r w:rsidR="001C26F2" w:rsidRPr="00D13B67">
        <w:t xml:space="preserve">ajor learning management systems (e.g., Brightspace, Moodle, Canvas although that is not a guarantee that the material published to those platforms </w:t>
      </w:r>
      <w:r w:rsidR="007C5414" w:rsidRPr="00D13B67">
        <w:t>achieves high rates of accessibility)</w:t>
      </w:r>
      <w:r w:rsidR="008F3916" w:rsidRPr="00D13B67">
        <w:t>.</w:t>
      </w:r>
    </w:p>
    <w:p w14:paraId="04CA0C76" w14:textId="78F3359E" w:rsidR="00D42C81" w:rsidRPr="00D13B67" w:rsidRDefault="00D826AE" w:rsidP="00D826AE">
      <w:pPr>
        <w:pStyle w:val="ListParagraph"/>
        <w:numPr>
          <w:ilvl w:val="0"/>
          <w:numId w:val="15"/>
        </w:numPr>
      </w:pPr>
      <w:r w:rsidRPr="00D13B67">
        <w:t>F</w:t>
      </w:r>
      <w:r w:rsidR="007C5414" w:rsidRPr="00D13B67">
        <w:t>ile formats</w:t>
      </w:r>
      <w:r w:rsidRPr="00D13B67">
        <w:t xml:space="preserve"> such as Word and PowerPoint</w:t>
      </w:r>
      <w:r w:rsidR="008F3916" w:rsidRPr="00D13B67">
        <w:t>.</w:t>
      </w:r>
    </w:p>
    <w:p w14:paraId="600A7EFB" w14:textId="1B1CBCD8" w:rsidR="008F3916" w:rsidRPr="00D13B67" w:rsidRDefault="008F3916" w:rsidP="00D826AE">
      <w:pPr>
        <w:pStyle w:val="ListParagraph"/>
        <w:numPr>
          <w:ilvl w:val="0"/>
          <w:numId w:val="15"/>
        </w:numPr>
      </w:pPr>
      <w:r w:rsidRPr="00D13B67">
        <w:t xml:space="preserve">HTML and </w:t>
      </w:r>
      <w:r w:rsidR="00341F06" w:rsidRPr="00D13B67">
        <w:t>EPUB</w:t>
      </w:r>
      <w:r w:rsidRPr="00D13B67">
        <w:t xml:space="preserve"> digital books.</w:t>
      </w:r>
    </w:p>
    <w:p w14:paraId="1D5E5E5B" w14:textId="5B22A6A5" w:rsidR="008F3916" w:rsidRPr="00D13B67" w:rsidRDefault="008F3916" w:rsidP="005754C5">
      <w:pPr>
        <w:pStyle w:val="Body"/>
        <w:spacing w:before="240"/>
        <w:ind w:firstLine="0"/>
      </w:pPr>
      <w:r w:rsidRPr="00D13B67">
        <w:t xml:space="preserve">However, </w:t>
      </w:r>
      <w:r w:rsidR="00A07029" w:rsidRPr="00D13B67">
        <w:t>file formats such as PDFs and publisher platforms that rely on proprietary assistive technology, such as built-in reading tools at the exclusion of mainstream, cross-platform assistive technologies, are generally less accessible.</w:t>
      </w:r>
    </w:p>
    <w:p w14:paraId="446F2A7B" w14:textId="07D9E9BF" w:rsidR="4980EFB8" w:rsidRPr="00D13B67" w:rsidRDefault="002F2783" w:rsidP="00EB2B3C">
      <w:pPr>
        <w:pStyle w:val="Heading4"/>
      </w:pPr>
      <w:bookmarkStart w:id="24" w:name="_Toc228867979"/>
      <w:r w:rsidRPr="00D13B67">
        <w:lastRenderedPageBreak/>
        <w:t>2.</w:t>
      </w:r>
      <w:r w:rsidR="00C13CB3" w:rsidRPr="00D13B67">
        <w:t>3</w:t>
      </w:r>
      <w:r w:rsidR="002D4CE6" w:rsidRPr="00D13B67">
        <w:t>.1 History of Disability Legislation</w:t>
      </w:r>
      <w:bookmarkEnd w:id="24"/>
    </w:p>
    <w:p w14:paraId="77BD82F4" w14:textId="5F3E1989" w:rsidR="5CB7DD04" w:rsidRPr="00D13B67" w:rsidRDefault="001078CB" w:rsidP="13C0D7AD">
      <w:pPr>
        <w:pStyle w:val="Body"/>
        <w:rPr>
          <w:rFonts w:ascii="Aptos" w:eastAsia="Aptos" w:hAnsi="Aptos" w:cs="Aptos"/>
          <w:color w:val="000000" w:themeColor="text1"/>
        </w:rPr>
      </w:pPr>
      <w:r w:rsidRPr="00D13B67">
        <w:t>A</w:t>
      </w:r>
      <w:r w:rsidR="5CB7DD04" w:rsidRPr="00D13B67">
        <w:t xml:space="preserve"> stated aim of accessibility legislation is to “identify, remove and prevent barriers to individuals” where barriers are </w:t>
      </w:r>
      <w:r w:rsidR="1E7602D9" w:rsidRPr="00D13B67">
        <w:t xml:space="preserve">defined as </w:t>
      </w:r>
      <w:r w:rsidR="5CB7DD04" w:rsidRPr="00D13B67">
        <w:t>“anything that hinders the full and equal participation in society of a person with an impairment” (Government of British Columbia, 2021)</w:t>
      </w:r>
      <w:r w:rsidR="3143B546" w:rsidRPr="00D13B67">
        <w:t xml:space="preserve">. </w:t>
      </w:r>
      <w:r w:rsidR="59373642" w:rsidRPr="00D13B67">
        <w:t xml:space="preserve">Accessibility legislation </w:t>
      </w:r>
      <w:r w:rsidR="00D410FF" w:rsidRPr="00D13B67">
        <w:t>intends</w:t>
      </w:r>
      <w:r w:rsidR="59373642" w:rsidRPr="00D13B67">
        <w:t xml:space="preserve"> to be proactive </w:t>
      </w:r>
      <w:r w:rsidR="522E7113" w:rsidRPr="00D13B67">
        <w:t>by</w:t>
      </w:r>
      <w:r w:rsidR="59373642" w:rsidRPr="00D13B67">
        <w:t xml:space="preserve"> remov</w:t>
      </w:r>
      <w:r w:rsidR="5DF430CC" w:rsidRPr="00D13B67">
        <w:t>ing</w:t>
      </w:r>
      <w:r w:rsidR="59373642" w:rsidRPr="00D13B67">
        <w:t xml:space="preserve"> barriers to </w:t>
      </w:r>
      <w:r w:rsidR="002F4787" w:rsidRPr="00D13B67">
        <w:t>access</w:t>
      </w:r>
      <w:r w:rsidR="59373642" w:rsidRPr="00D13B67">
        <w:t xml:space="preserve"> </w:t>
      </w:r>
      <w:r w:rsidR="0C423143" w:rsidRPr="00D13B67">
        <w:t>before they emerge and ensure that</w:t>
      </w:r>
      <w:r w:rsidR="59373642" w:rsidRPr="00D13B67">
        <w:t xml:space="preserve"> disabled people </w:t>
      </w:r>
      <w:r w:rsidR="20724FCE" w:rsidRPr="00D13B67">
        <w:t>have an equitable opportunity to participate in society</w:t>
      </w:r>
      <w:r w:rsidR="1182308D" w:rsidRPr="00D13B67">
        <w:t xml:space="preserve"> (Jaco</w:t>
      </w:r>
      <w:r w:rsidR="52811E7B" w:rsidRPr="00D13B67">
        <w:t>b</w:t>
      </w:r>
      <w:r w:rsidR="1182308D" w:rsidRPr="00D13B67">
        <w:t xml:space="preserve">s, 2023). </w:t>
      </w:r>
      <w:r w:rsidR="126E48EA" w:rsidRPr="00D13B67">
        <w:t xml:space="preserve">Accessibility legislation may </w:t>
      </w:r>
      <w:r w:rsidR="002F4787" w:rsidRPr="00D13B67">
        <w:t>work</w:t>
      </w:r>
      <w:r w:rsidR="126E48EA" w:rsidRPr="00D13B67">
        <w:t xml:space="preserve"> to supplant or enhance existing human rights</w:t>
      </w:r>
      <w:r w:rsidR="1A235B18" w:rsidRPr="00D13B67">
        <w:t xml:space="preserve"> protections</w:t>
      </w:r>
      <w:r w:rsidR="6183ACB5" w:rsidRPr="00D13B67">
        <w:t xml:space="preserve"> for disabled people</w:t>
      </w:r>
      <w:r w:rsidR="159C0F7D" w:rsidRPr="00D13B67">
        <w:t>.</w:t>
      </w:r>
      <w:r w:rsidR="26855F05" w:rsidRPr="00D13B67">
        <w:t xml:space="preserve"> </w:t>
      </w:r>
      <w:r w:rsidR="2F469E19" w:rsidRPr="00D13B67">
        <w:t>As a local example, w</w:t>
      </w:r>
      <w:r w:rsidR="26855F05" w:rsidRPr="00D13B67">
        <w:t xml:space="preserve">hile the </w:t>
      </w:r>
      <w:r w:rsidR="002F4787" w:rsidRPr="00D13B67">
        <w:t xml:space="preserve">British Columbia </w:t>
      </w:r>
      <w:r w:rsidR="26855F05" w:rsidRPr="00D13B67">
        <w:t xml:space="preserve">Human Rights Code requires </w:t>
      </w:r>
      <w:r w:rsidR="00A45822" w:rsidRPr="00D13B67">
        <w:t xml:space="preserve">reasonable </w:t>
      </w:r>
      <w:r w:rsidR="002D4CE6" w:rsidRPr="00D13B67">
        <w:t>accommodation</w:t>
      </w:r>
      <w:r w:rsidR="00A45822" w:rsidRPr="00D13B67">
        <w:t>s</w:t>
      </w:r>
      <w:r w:rsidR="26855F05" w:rsidRPr="00D13B67">
        <w:t xml:space="preserve"> for people with disabilities, the Acce</w:t>
      </w:r>
      <w:r w:rsidR="236410B7" w:rsidRPr="00D13B67">
        <w:t xml:space="preserve">ssible British Columbia </w:t>
      </w:r>
      <w:r w:rsidR="000373B3">
        <w:t>A</w:t>
      </w:r>
      <w:r w:rsidR="236410B7" w:rsidRPr="00D13B67">
        <w:t>ct seeks to create accessible experiences for all</w:t>
      </w:r>
      <w:r w:rsidR="722F8CC4" w:rsidRPr="00D13B67">
        <w:t xml:space="preserve"> and should theoretically reduce the need for accommodations. Human rights-based accessibility requires complaints of exclusion or discrimination against disabled people</w:t>
      </w:r>
      <w:r w:rsidR="530E03DB" w:rsidRPr="00D13B67">
        <w:t xml:space="preserve"> and puts on the onus on disabled people whereas accessibility legislation places the responsibility on society to create accessible experiences</w:t>
      </w:r>
      <w:r w:rsidR="002F4787" w:rsidRPr="00D13B67">
        <w:t xml:space="preserve"> (Jacobs, 2023)</w:t>
      </w:r>
      <w:r w:rsidR="530E03DB" w:rsidRPr="00D13B67">
        <w:t xml:space="preserve">. </w:t>
      </w:r>
    </w:p>
    <w:p w14:paraId="7641CB77" w14:textId="3286E52D" w:rsidR="4D9C6A5D" w:rsidRPr="00D13B67" w:rsidRDefault="000B6E0E" w:rsidP="13C0D7AD">
      <w:pPr>
        <w:pStyle w:val="Body"/>
      </w:pPr>
      <w:r w:rsidRPr="00D13B67">
        <w:t xml:space="preserve">At least </w:t>
      </w:r>
      <w:r w:rsidR="4D9C6A5D" w:rsidRPr="00D13B67">
        <w:t xml:space="preserve">45 countries have web accessibility laws or government policy (W3C Web Accessibility Initiative, 2025). </w:t>
      </w:r>
      <w:r w:rsidR="002D4CE6" w:rsidRPr="00D13B67">
        <w:t>Thanks to the immense effort of activists and allies, the Rehabilitation Act of 1973, specifically Section 504, was the first major piece of legislation to ensure disabled people could not “be denied the benefits of, be excluded from participation in, or be subjected to discrimination under any program or activity receiving Federal Financial assistance” (Rehabilitation Act of 1973, p. 141). This law, modeled after the Civil Rights Act passed a decade earlier</w:t>
      </w:r>
      <w:r w:rsidR="00EF6DDA" w:rsidRPr="00D13B67">
        <w:t>,</w:t>
      </w:r>
      <w:r w:rsidR="002D4CE6" w:rsidRPr="00D13B67">
        <w:t xml:space="preserve"> was foundational for employment reform and access to public services. Amendments in 1974 redefined disability to include </w:t>
      </w:r>
      <w:r w:rsidR="002D4CE6" w:rsidRPr="00D13B67">
        <w:lastRenderedPageBreak/>
        <w:t>impairments that limit life activities, not just access to employment (Ellcessor, 2010). 1981, the International Year of Disabled People, raised global awareness of the inclusion of disabled people as a human right (</w:t>
      </w:r>
      <w:r w:rsidR="002D4CE6" w:rsidRPr="00D13B67">
        <w:rPr>
          <w:rFonts w:ascii="Aptos" w:eastAsia="Aptos" w:hAnsi="Aptos" w:cs="Aptos"/>
        </w:rPr>
        <w:t xml:space="preserve">Meekosha </w:t>
      </w:r>
      <w:r w:rsidR="0049411D" w:rsidRPr="00D13B67">
        <w:rPr>
          <w:rFonts w:ascii="Aptos" w:eastAsia="Aptos" w:hAnsi="Aptos" w:cs="Aptos"/>
        </w:rPr>
        <w:t>&amp;</w:t>
      </w:r>
      <w:r w:rsidR="002D4CE6" w:rsidRPr="00D13B67">
        <w:rPr>
          <w:rFonts w:ascii="Aptos" w:eastAsia="Aptos" w:hAnsi="Aptos" w:cs="Aptos"/>
        </w:rPr>
        <w:t xml:space="preserve"> Shuttleworth, 2009). </w:t>
      </w:r>
      <w:r w:rsidR="002D4CE6" w:rsidRPr="00D13B67">
        <w:t>The United States Rehabilitation Act of 1986 included telecommunications</w:t>
      </w:r>
      <w:r w:rsidR="00796D9D" w:rsidRPr="00D13B67">
        <w:t xml:space="preserve"> standards </w:t>
      </w:r>
      <w:r w:rsidR="002D4CE6" w:rsidRPr="00D13B67">
        <w:t>and the American with Disabilities Act</w:t>
      </w:r>
      <w:r w:rsidR="00796D9D" w:rsidRPr="00D13B67">
        <w:t xml:space="preserve"> (ADA)</w:t>
      </w:r>
      <w:r w:rsidR="002D4CE6" w:rsidRPr="00D13B67">
        <w:t xml:space="preserve"> was passed in 1990</w:t>
      </w:r>
      <w:r w:rsidR="004528B7" w:rsidRPr="00D13B67">
        <w:t xml:space="preserve">. </w:t>
      </w:r>
      <w:r w:rsidR="002D4CE6" w:rsidRPr="00D13B67">
        <w:t xml:space="preserve">The Individuals with Disabilities Education Act was passed in 1990 to ensure free public education to American disabled children. </w:t>
      </w:r>
      <w:r w:rsidR="002D4CE6" w:rsidRPr="00D13B67">
        <w:rPr>
          <w:rFonts w:ascii="Aptos" w:eastAsia="Aptos" w:hAnsi="Aptos" w:cs="Aptos"/>
        </w:rPr>
        <w:t xml:space="preserve">The Salamanca Statement in 1994 advocated for inclusive education through policy that would enable schools to serve all children and affirmed the right of all children to learn together (UNESCO, 1994). </w:t>
      </w:r>
      <w:r w:rsidR="00585A17" w:rsidRPr="00D13B67">
        <w:t xml:space="preserve">The 1996 </w:t>
      </w:r>
      <w:r w:rsidRPr="00D13B67">
        <w:t xml:space="preserve">US </w:t>
      </w:r>
      <w:r w:rsidR="00585A17" w:rsidRPr="00D13B67">
        <w:t>Telecommunications Act, specifically section 255, included considerations for accessibility in electronic media requiring that manufacturers and service providers create products and experiences that were accessible to people with disabilities whenever it was “readily achievable” (Telecommunications Act of 1996, 1996). Section 255 “was the first product design law to attempt to drive the market to create accessible products. It is not a traditional civil rights law since it is an accessible design law that does not depend on the filing of a complaint for its requirements to be enforced” (Wad</w:t>
      </w:r>
      <w:r w:rsidR="007932C6" w:rsidRPr="00D13B67">
        <w:t>d</w:t>
      </w:r>
      <w:r w:rsidR="00585A17" w:rsidRPr="00D13B67">
        <w:t xml:space="preserve">ell, 533). Critics note the ‘readily achievable’ clause was dependent on capacity, nature of the consumers’ disability, and numerous contextual factors </w:t>
      </w:r>
      <w:r w:rsidR="003E48AD" w:rsidRPr="00D13B67">
        <w:t>which</w:t>
      </w:r>
      <w:r w:rsidR="00585A17" w:rsidRPr="00D13B67">
        <w:t xml:space="preserve"> </w:t>
      </w:r>
      <w:r w:rsidR="008D3703" w:rsidRPr="00D13B67">
        <w:t>allowed for</w:t>
      </w:r>
      <w:r w:rsidR="00585A17" w:rsidRPr="00D13B67">
        <w:t xml:space="preserve"> considerable inaccessib</w:t>
      </w:r>
      <w:r w:rsidR="005B0AEF" w:rsidRPr="00D13B67">
        <w:t>ility</w:t>
      </w:r>
      <w:r w:rsidR="00585A17" w:rsidRPr="00D13B67">
        <w:t xml:space="preserve"> and exclusion </w:t>
      </w:r>
      <w:r w:rsidRPr="00D13B67">
        <w:t xml:space="preserve">to </w:t>
      </w:r>
      <w:r w:rsidR="00101942" w:rsidRPr="00D13B67">
        <w:t xml:space="preserve">persist </w:t>
      </w:r>
      <w:r w:rsidR="00585A17" w:rsidRPr="00D13B67">
        <w:t>(Ellcessor, 2010</w:t>
      </w:r>
      <w:r w:rsidR="4D9C6A5D" w:rsidRPr="00D13B67">
        <w:t xml:space="preserve">). </w:t>
      </w:r>
    </w:p>
    <w:p w14:paraId="2A2448EE" w14:textId="68AD7FB7" w:rsidR="00E07EC2" w:rsidRPr="00D13B67" w:rsidRDefault="003E48AD" w:rsidP="00CB01E4">
      <w:pPr>
        <w:pStyle w:val="Body"/>
      </w:pPr>
      <w:r w:rsidRPr="00D13B67">
        <w:t>In 1997, the World Wide Web Consortium (W3C) chartered the Web Accessibility Initiative (WAI). Regarding technology and digital content, most legislation is based on</w:t>
      </w:r>
      <w:r w:rsidR="00101942" w:rsidRPr="00D13B67">
        <w:t>,</w:t>
      </w:r>
      <w:r w:rsidRPr="00D13B67">
        <w:t xml:space="preserve"> or includes reference to</w:t>
      </w:r>
      <w:r w:rsidR="00101942" w:rsidRPr="00D13B67">
        <w:t>,</w:t>
      </w:r>
      <w:r w:rsidRPr="00D13B67">
        <w:t xml:space="preserve"> the Web Content Accessibility Guidelines (Gifford, 2024). WCAG 1.0 was published in 1998 </w:t>
      </w:r>
      <w:r w:rsidR="004F56A1" w:rsidRPr="00D13B67">
        <w:t xml:space="preserve">with a final version released in May 1999. WCAG 1.0 included 14 </w:t>
      </w:r>
      <w:r w:rsidR="004F56A1" w:rsidRPr="00D13B67">
        <w:lastRenderedPageBreak/>
        <w:t>guidelines and 65 checkpoints to measure conformance (</w:t>
      </w:r>
      <w:r w:rsidR="004F56A1" w:rsidRPr="00D13B67">
        <w:rPr>
          <w:rFonts w:ascii="Aptos" w:eastAsia="Aptos" w:hAnsi="Aptos" w:cs="Aptos"/>
          <w:color w:val="000000" w:themeColor="text1"/>
        </w:rPr>
        <w:t xml:space="preserve">W3C </w:t>
      </w:r>
      <w:r w:rsidR="00101942" w:rsidRPr="00D13B67">
        <w:rPr>
          <w:rFonts w:ascii="Aptos" w:eastAsia="Aptos" w:hAnsi="Aptos" w:cs="Aptos"/>
          <w:color w:val="000000" w:themeColor="text1"/>
        </w:rPr>
        <w:t>WAI</w:t>
      </w:r>
      <w:r w:rsidR="004F56A1" w:rsidRPr="00D13B67">
        <w:rPr>
          <w:rFonts w:ascii="Aptos" w:eastAsia="Aptos" w:hAnsi="Aptos" w:cs="Aptos"/>
          <w:color w:val="000000" w:themeColor="text1"/>
        </w:rPr>
        <w:t xml:space="preserve">, 1999). To account for the constant changes to personal computing and widespread use of the internet, WCAG 2.0 was released in 2008. WCAG 1.0’s guidelines </w:t>
      </w:r>
      <w:r w:rsidR="00611376" w:rsidRPr="00D13B67">
        <w:rPr>
          <w:rFonts w:ascii="Aptos" w:eastAsia="Aptos" w:hAnsi="Aptos" w:cs="Aptos"/>
          <w:color w:val="000000" w:themeColor="text1"/>
        </w:rPr>
        <w:t xml:space="preserve">were organized under the perceivable, operable, understandable, and robust (POUR) principles and checkpoints were replaced by Success Criteria (W3C </w:t>
      </w:r>
      <w:r w:rsidR="00101942" w:rsidRPr="00D13B67">
        <w:rPr>
          <w:rFonts w:ascii="Aptos" w:eastAsia="Aptos" w:hAnsi="Aptos" w:cs="Aptos"/>
          <w:color w:val="000000" w:themeColor="text1"/>
        </w:rPr>
        <w:t>WAI</w:t>
      </w:r>
      <w:r w:rsidR="00611376" w:rsidRPr="00D13B67">
        <w:rPr>
          <w:rFonts w:ascii="Aptos" w:eastAsia="Aptos" w:hAnsi="Aptos" w:cs="Aptos"/>
          <w:color w:val="000000" w:themeColor="text1"/>
        </w:rPr>
        <w:t>, 2008). As</w:t>
      </w:r>
      <w:r w:rsidR="00812920" w:rsidRPr="00D13B67">
        <w:rPr>
          <w:rFonts w:ascii="Aptos" w:eastAsia="Aptos" w:hAnsi="Aptos" w:cs="Aptos"/>
          <w:color w:val="000000" w:themeColor="text1"/>
        </w:rPr>
        <w:t xml:space="preserve"> of</w:t>
      </w:r>
      <w:r w:rsidR="00611376" w:rsidRPr="00D13B67">
        <w:rPr>
          <w:rFonts w:ascii="Aptos" w:eastAsia="Aptos" w:hAnsi="Aptos" w:cs="Aptos"/>
          <w:color w:val="000000" w:themeColor="text1"/>
        </w:rPr>
        <w:t xml:space="preserve"> 2026, WCAG 2.2 is the most current version</w:t>
      </w:r>
      <w:r w:rsidR="00251EF0" w:rsidRPr="00D13B67">
        <w:rPr>
          <w:rFonts w:ascii="Aptos" w:eastAsia="Aptos" w:hAnsi="Aptos" w:cs="Aptos"/>
          <w:color w:val="000000" w:themeColor="text1"/>
        </w:rPr>
        <w:t xml:space="preserve"> with 9 additional Success Criteria (W3C </w:t>
      </w:r>
      <w:r w:rsidR="00101942" w:rsidRPr="00D13B67">
        <w:rPr>
          <w:rFonts w:ascii="Aptos" w:eastAsia="Aptos" w:hAnsi="Aptos" w:cs="Aptos"/>
          <w:color w:val="000000" w:themeColor="text1"/>
        </w:rPr>
        <w:t>WAI</w:t>
      </w:r>
      <w:r w:rsidR="00251EF0" w:rsidRPr="00D13B67">
        <w:rPr>
          <w:rFonts w:ascii="Aptos" w:eastAsia="Aptos" w:hAnsi="Aptos" w:cs="Aptos"/>
          <w:color w:val="000000" w:themeColor="text1"/>
        </w:rPr>
        <w:t xml:space="preserve">, 2024a). WCAG 3.0 is a planned </w:t>
      </w:r>
      <w:r w:rsidR="00EE791E" w:rsidRPr="00D13B67">
        <w:rPr>
          <w:rFonts w:ascii="Aptos" w:eastAsia="Aptos" w:hAnsi="Aptos" w:cs="Aptos"/>
          <w:color w:val="000000" w:themeColor="text1"/>
        </w:rPr>
        <w:t xml:space="preserve">restructuring “written as plain language, user-centered outcomes statements” (W3C </w:t>
      </w:r>
      <w:r w:rsidR="00D4255A" w:rsidRPr="00D13B67">
        <w:rPr>
          <w:rFonts w:ascii="Aptos" w:eastAsia="Aptos" w:hAnsi="Aptos" w:cs="Aptos"/>
          <w:color w:val="000000" w:themeColor="text1"/>
        </w:rPr>
        <w:t>WAI</w:t>
      </w:r>
      <w:r w:rsidR="00EE791E" w:rsidRPr="00D13B67">
        <w:rPr>
          <w:rFonts w:ascii="Aptos" w:eastAsia="Aptos" w:hAnsi="Aptos" w:cs="Aptos"/>
          <w:color w:val="000000" w:themeColor="text1"/>
        </w:rPr>
        <w:t>, 2024b). As of early-2026, WCAG 3.0 is still in draft</w:t>
      </w:r>
      <w:r w:rsidR="00C871A4">
        <w:rPr>
          <w:rFonts w:ascii="Aptos" w:eastAsia="Aptos" w:hAnsi="Aptos" w:cs="Aptos"/>
          <w:color w:val="000000" w:themeColor="text1"/>
        </w:rPr>
        <w:t>. E</w:t>
      </w:r>
      <w:r w:rsidR="00EE791E" w:rsidRPr="00D13B67">
        <w:rPr>
          <w:rFonts w:ascii="Aptos" w:eastAsia="Aptos" w:hAnsi="Aptos" w:cs="Aptos"/>
          <w:color w:val="000000" w:themeColor="text1"/>
        </w:rPr>
        <w:t>arly reviewers indicate</w:t>
      </w:r>
      <w:r w:rsidR="00837480" w:rsidRPr="00D13B67">
        <w:rPr>
          <w:rFonts w:ascii="Aptos" w:eastAsia="Aptos" w:hAnsi="Aptos" w:cs="Aptos"/>
          <w:color w:val="000000" w:themeColor="text1"/>
        </w:rPr>
        <w:t xml:space="preserve"> </w:t>
      </w:r>
      <w:r w:rsidR="00C871A4">
        <w:rPr>
          <w:rFonts w:ascii="Aptos" w:eastAsia="Aptos" w:hAnsi="Aptos" w:cs="Aptos"/>
          <w:color w:val="000000" w:themeColor="text1"/>
        </w:rPr>
        <w:t>WCAG 3.0</w:t>
      </w:r>
      <w:r w:rsidR="00837480" w:rsidRPr="00D13B67">
        <w:rPr>
          <w:rFonts w:ascii="Aptos" w:eastAsia="Aptos" w:hAnsi="Aptos" w:cs="Aptos"/>
          <w:color w:val="000000" w:themeColor="text1"/>
        </w:rPr>
        <w:t xml:space="preserve"> shift</w:t>
      </w:r>
      <w:r w:rsidR="00C871A4">
        <w:rPr>
          <w:rFonts w:ascii="Aptos" w:eastAsia="Aptos" w:hAnsi="Aptos" w:cs="Aptos"/>
          <w:color w:val="000000" w:themeColor="text1"/>
        </w:rPr>
        <w:t>s</w:t>
      </w:r>
      <w:r w:rsidR="00837480" w:rsidRPr="00D13B67">
        <w:rPr>
          <w:rFonts w:ascii="Aptos" w:eastAsia="Aptos" w:hAnsi="Aptos" w:cs="Aptos"/>
          <w:color w:val="000000" w:themeColor="text1"/>
        </w:rPr>
        <w:t xml:space="preserve"> from compliance to progress </w:t>
      </w:r>
      <w:r w:rsidR="00C871A4">
        <w:rPr>
          <w:rFonts w:ascii="Aptos" w:eastAsia="Aptos" w:hAnsi="Aptos" w:cs="Aptos"/>
          <w:color w:val="000000" w:themeColor="text1"/>
        </w:rPr>
        <w:t>which</w:t>
      </w:r>
      <w:r w:rsidR="00837480" w:rsidRPr="00D13B67">
        <w:rPr>
          <w:rFonts w:ascii="Aptos" w:eastAsia="Aptos" w:hAnsi="Aptos" w:cs="Aptos"/>
          <w:color w:val="000000" w:themeColor="text1"/>
        </w:rPr>
        <w:t xml:space="preserve"> emphasizes a more holistic approach to accessibility</w:t>
      </w:r>
      <w:r w:rsidR="00C871A4">
        <w:rPr>
          <w:rFonts w:ascii="Aptos" w:eastAsia="Aptos" w:hAnsi="Aptos" w:cs="Aptos"/>
          <w:color w:val="000000" w:themeColor="text1"/>
        </w:rPr>
        <w:t>,</w:t>
      </w:r>
      <w:r w:rsidR="00837480" w:rsidRPr="00D13B67">
        <w:rPr>
          <w:rFonts w:ascii="Aptos" w:eastAsia="Aptos" w:hAnsi="Aptos" w:cs="Aptos"/>
          <w:color w:val="000000" w:themeColor="text1"/>
        </w:rPr>
        <w:t xml:space="preserve"> prioritiz</w:t>
      </w:r>
      <w:r w:rsidR="002D0DE7" w:rsidRPr="00D13B67">
        <w:rPr>
          <w:rFonts w:ascii="Aptos" w:eastAsia="Aptos" w:hAnsi="Aptos" w:cs="Aptos"/>
          <w:color w:val="000000" w:themeColor="text1"/>
        </w:rPr>
        <w:t>ing</w:t>
      </w:r>
      <w:r w:rsidR="00837480" w:rsidRPr="00D13B67">
        <w:rPr>
          <w:rFonts w:ascii="Aptos" w:eastAsia="Aptos" w:hAnsi="Aptos" w:cs="Aptos"/>
          <w:color w:val="000000" w:themeColor="text1"/>
        </w:rPr>
        <w:t xml:space="preserve"> user experience and access over </w:t>
      </w:r>
      <w:r w:rsidR="00536716" w:rsidRPr="00D13B67">
        <w:rPr>
          <w:rFonts w:ascii="Aptos" w:eastAsia="Aptos" w:hAnsi="Aptos" w:cs="Aptos"/>
          <w:color w:val="000000" w:themeColor="text1"/>
        </w:rPr>
        <w:t>rigid compliance to standards (</w:t>
      </w:r>
      <w:proofErr w:type="spellStart"/>
      <w:r w:rsidR="00536716" w:rsidRPr="00D13B67">
        <w:rPr>
          <w:rFonts w:ascii="Aptos" w:eastAsia="Aptos" w:hAnsi="Aptos" w:cs="Aptos"/>
          <w:color w:val="000000" w:themeColor="text1"/>
        </w:rPr>
        <w:t>Prosmitsk</w:t>
      </w:r>
      <w:r w:rsidR="005A1570" w:rsidRPr="00D13B67">
        <w:rPr>
          <w:rFonts w:ascii="Aptos" w:eastAsia="Aptos" w:hAnsi="Aptos" w:cs="Aptos"/>
          <w:color w:val="000000" w:themeColor="text1"/>
        </w:rPr>
        <w:t>i</w:t>
      </w:r>
      <w:r w:rsidR="00536716" w:rsidRPr="00D13B67">
        <w:rPr>
          <w:rFonts w:ascii="Aptos" w:eastAsia="Aptos" w:hAnsi="Aptos" w:cs="Aptos"/>
          <w:color w:val="000000" w:themeColor="text1"/>
        </w:rPr>
        <w:t>y</w:t>
      </w:r>
      <w:proofErr w:type="spellEnd"/>
      <w:r w:rsidR="00536716" w:rsidRPr="00D13B67">
        <w:rPr>
          <w:rFonts w:ascii="Aptos" w:eastAsia="Aptos" w:hAnsi="Aptos" w:cs="Aptos"/>
          <w:color w:val="000000" w:themeColor="text1"/>
        </w:rPr>
        <w:t>, 2025).</w:t>
      </w:r>
    </w:p>
    <w:p w14:paraId="1EDA06B3" w14:textId="77777777" w:rsidR="00EF7A88" w:rsidRPr="00D13B67" w:rsidRDefault="00EF7A88" w:rsidP="00CB01E4">
      <w:pPr>
        <w:pStyle w:val="Body"/>
        <w:rPr>
          <w:rFonts w:ascii="Aptos" w:eastAsia="Aptos" w:hAnsi="Aptos" w:cs="Aptos"/>
          <w:color w:val="000000" w:themeColor="text1"/>
        </w:rPr>
      </w:pPr>
      <w:r w:rsidRPr="00D13B67">
        <w:t>Returning to broader accessibility legislation, t</w:t>
      </w:r>
      <w:r w:rsidR="00585A17" w:rsidRPr="00D13B67">
        <w:t xml:space="preserve">he Workforce Investment Act of 1998 required federal services to provide disabled federal employees and members of the public “access to and use of information and data that is comparable to the access to and use of the information and data’ by peers who do not have disabilities” (p. 262). </w:t>
      </w:r>
      <w:r w:rsidR="002D4CE6" w:rsidRPr="00D13B67">
        <w:rPr>
          <w:rFonts w:ascii="Aptos" w:eastAsia="Aptos" w:hAnsi="Aptos" w:cs="Aptos"/>
        </w:rPr>
        <w:t xml:space="preserve">The 1998 Section 508 amendment to the Rehabilitation Act of 1973 mandated that electronic and information technology be accessible to disabled people (Holmes, 2018; </w:t>
      </w:r>
      <w:r w:rsidR="002D4CE6" w:rsidRPr="00D13B67">
        <w:t xml:space="preserve">Youngblood </w:t>
      </w:r>
      <w:r w:rsidR="00780FC5" w:rsidRPr="00D13B67">
        <w:t>&amp;</w:t>
      </w:r>
      <w:r w:rsidR="002D4CE6" w:rsidRPr="00D13B67">
        <w:t xml:space="preserve"> Brooks, 2018</w:t>
      </w:r>
      <w:r w:rsidR="002D4CE6" w:rsidRPr="00D13B67">
        <w:rPr>
          <w:rFonts w:ascii="Aptos" w:eastAsia="Aptos" w:hAnsi="Aptos" w:cs="Aptos"/>
        </w:rPr>
        <w:t xml:space="preserve">). As with the original legislation, this amendment only covered federally funded programs and services. </w:t>
      </w:r>
      <w:r w:rsidR="00CC4801" w:rsidRPr="00D13B67">
        <w:rPr>
          <w:rFonts w:ascii="Aptos" w:eastAsia="Aptos" w:hAnsi="Aptos" w:cs="Aptos"/>
        </w:rPr>
        <w:t xml:space="preserve">The </w:t>
      </w:r>
      <w:r w:rsidR="00357A43" w:rsidRPr="00D13B67">
        <w:rPr>
          <w:rFonts w:ascii="Aptos" w:eastAsia="Aptos" w:hAnsi="Aptos" w:cs="Aptos"/>
        </w:rPr>
        <w:t>Accessibility for Ontarians with Disabilities Act</w:t>
      </w:r>
      <w:r w:rsidR="0047370D" w:rsidRPr="00D13B67">
        <w:rPr>
          <w:rFonts w:ascii="Aptos" w:eastAsia="Aptos" w:hAnsi="Aptos" w:cs="Aptos"/>
        </w:rPr>
        <w:t xml:space="preserve"> (AODA)</w:t>
      </w:r>
      <w:r w:rsidR="00357A43" w:rsidRPr="00D13B67">
        <w:rPr>
          <w:rFonts w:ascii="Aptos" w:eastAsia="Aptos" w:hAnsi="Aptos" w:cs="Aptos"/>
        </w:rPr>
        <w:t xml:space="preserve"> was passed in 2005, representing Canada’s first major piece of accessibility legislation (Government of Ontario, 2005).</w:t>
      </w:r>
      <w:r w:rsidR="009066C5" w:rsidRPr="00D13B67">
        <w:rPr>
          <w:rFonts w:ascii="Aptos" w:eastAsia="Aptos" w:hAnsi="Aptos" w:cs="Aptos"/>
        </w:rPr>
        <w:t xml:space="preserve"> </w:t>
      </w:r>
      <w:r w:rsidR="002D4CE6" w:rsidRPr="00D13B67">
        <w:rPr>
          <w:rFonts w:ascii="Aptos" w:eastAsia="Aptos" w:hAnsi="Aptos" w:cs="Aptos"/>
        </w:rPr>
        <w:t>The 2006 United Nations Convention on the Rights of Persons with Disabilities acknowledges that “</w:t>
      </w:r>
      <w:r w:rsidR="002D4CE6" w:rsidRPr="00D13B67">
        <w:rPr>
          <w:rStyle w:val="highlight"/>
        </w:rPr>
        <w:t xml:space="preserve">disability is an evolving concept and that </w:t>
      </w:r>
      <w:r w:rsidR="002D4CE6" w:rsidRPr="00D13B67">
        <w:rPr>
          <w:rStyle w:val="highlight"/>
        </w:rPr>
        <w:lastRenderedPageBreak/>
        <w:t>disability results from the interaction between persons with impairments and attitudinal and environmental barriers that hinders their full and effective participation in society on an equal basis with others”</w:t>
      </w:r>
      <w:r w:rsidR="002D4CE6" w:rsidRPr="00D13B67">
        <w:rPr>
          <w:rStyle w:val="citation"/>
        </w:rPr>
        <w:t xml:space="preserve">. However, as with the United Nations Sustainable Development Goals, these efforts (however well-intentioned) lack specifics and enforceability. </w:t>
      </w:r>
      <w:r w:rsidR="009066C5" w:rsidRPr="00D13B67">
        <w:rPr>
          <w:rStyle w:val="citation"/>
        </w:rPr>
        <w:t>The European Union</w:t>
      </w:r>
      <w:r w:rsidR="002737C7" w:rsidRPr="00D13B67">
        <w:rPr>
          <w:rStyle w:val="citation"/>
        </w:rPr>
        <w:t xml:space="preserve"> (EU)</w:t>
      </w:r>
      <w:r w:rsidR="009066C5" w:rsidRPr="00D13B67">
        <w:rPr>
          <w:rStyle w:val="citation"/>
        </w:rPr>
        <w:t xml:space="preserve"> </w:t>
      </w:r>
      <w:r w:rsidR="00C51526" w:rsidRPr="00D13B67">
        <w:rPr>
          <w:rStyle w:val="citation"/>
        </w:rPr>
        <w:t xml:space="preserve">adopted directive EN 301 549 in 2014 which outlined accessibility requirements for public procurement in information and communication technology products and services (CEN et al., 2015). </w:t>
      </w:r>
      <w:r w:rsidR="002737C7" w:rsidRPr="00D13B67">
        <w:rPr>
          <w:rStyle w:val="citation"/>
        </w:rPr>
        <w:t xml:space="preserve">In 2016, the EU adopted Directive 2016/2102 which outlined accessibility requirements for public sector websites and mobile applications </w:t>
      </w:r>
      <w:r w:rsidR="002737C7" w:rsidRPr="00D13B67">
        <w:rPr>
          <w:rFonts w:ascii="Aptos" w:eastAsia="Aptos" w:hAnsi="Aptos" w:cs="Aptos"/>
          <w:color w:val="000000" w:themeColor="text1"/>
        </w:rPr>
        <w:t xml:space="preserve">(The European Parliament and the Council of the European Union, 2016). </w:t>
      </w:r>
    </w:p>
    <w:p w14:paraId="3F1D7734" w14:textId="4802DF09" w:rsidR="002D4CE6" w:rsidRPr="00D13B67" w:rsidRDefault="002737C7" w:rsidP="00CB01E4">
      <w:pPr>
        <w:pStyle w:val="Body"/>
        <w:rPr>
          <w:rFonts w:ascii="Aptos" w:eastAsia="Aptos" w:hAnsi="Aptos" w:cs="Aptos"/>
        </w:rPr>
      </w:pPr>
      <w:r w:rsidRPr="00D13B67">
        <w:rPr>
          <w:rStyle w:val="citation"/>
        </w:rPr>
        <w:t xml:space="preserve">A common thread in </w:t>
      </w:r>
      <w:r w:rsidR="00EF7A88" w:rsidRPr="00D13B67">
        <w:rPr>
          <w:rStyle w:val="citation"/>
        </w:rPr>
        <w:t>early</w:t>
      </w:r>
      <w:r w:rsidRPr="00D13B67">
        <w:rPr>
          <w:rStyle w:val="citation"/>
        </w:rPr>
        <w:t xml:space="preserve"> accessibility legislation is the emphasis on publicly funded organizations. Theoretically, the withholding of public funding could be used as a cudgel to enforce compliance with accessibility standards</w:t>
      </w:r>
      <w:r w:rsidR="006B4F12" w:rsidRPr="00D13B67">
        <w:rPr>
          <w:rStyle w:val="citation"/>
        </w:rPr>
        <w:t>, but private entities would face no punishment for inaccessibility under that paradigm.</w:t>
      </w:r>
      <w:r w:rsidR="00D41D71" w:rsidRPr="00D13B67">
        <w:rPr>
          <w:rStyle w:val="citation"/>
        </w:rPr>
        <w:t xml:space="preserve"> However, in 2019, the European Accessibility Act mandated unified accessibility regulations for private sector business and services, including websites, across the EU (T</w:t>
      </w:r>
      <w:r w:rsidR="00D41D71" w:rsidRPr="00D13B67">
        <w:rPr>
          <w:rFonts w:ascii="Aptos" w:eastAsia="Aptos" w:hAnsi="Aptos" w:cs="Aptos"/>
          <w:color w:val="000000" w:themeColor="text1"/>
        </w:rPr>
        <w:t xml:space="preserve">he European Parliament and the Council of the European Union, 2019). </w:t>
      </w:r>
      <w:r w:rsidR="000F545F" w:rsidRPr="00D13B67">
        <w:rPr>
          <w:rFonts w:ascii="Aptos" w:eastAsia="Aptos" w:hAnsi="Aptos" w:cs="Aptos"/>
          <w:color w:val="000000" w:themeColor="text1"/>
        </w:rPr>
        <w:t xml:space="preserve">In Canada, the 2019 Accessible Canada Act </w:t>
      </w:r>
      <w:r w:rsidR="00F01F4C" w:rsidRPr="00D13B67">
        <w:rPr>
          <w:rFonts w:ascii="Aptos" w:eastAsia="Aptos" w:hAnsi="Aptos" w:cs="Aptos"/>
          <w:color w:val="000000" w:themeColor="text1"/>
        </w:rPr>
        <w:t xml:space="preserve">(ACA) </w:t>
      </w:r>
      <w:r w:rsidR="000F545F" w:rsidRPr="00D13B67">
        <w:rPr>
          <w:rFonts w:ascii="Aptos" w:eastAsia="Aptos" w:hAnsi="Aptos" w:cs="Aptos"/>
          <w:color w:val="000000" w:themeColor="text1"/>
        </w:rPr>
        <w:t xml:space="preserve">covered a range of areas including </w:t>
      </w:r>
      <w:r w:rsidR="00F01F4C" w:rsidRPr="00D13B67">
        <w:rPr>
          <w:rFonts w:ascii="Aptos" w:eastAsia="Aptos" w:hAnsi="Aptos" w:cs="Aptos"/>
          <w:color w:val="000000" w:themeColor="text1"/>
        </w:rPr>
        <w:t xml:space="preserve">accessible </w:t>
      </w:r>
      <w:r w:rsidR="000F545F" w:rsidRPr="00D13B67">
        <w:rPr>
          <w:rFonts w:ascii="Aptos" w:eastAsia="Aptos" w:hAnsi="Aptos" w:cs="Aptos"/>
          <w:color w:val="000000" w:themeColor="text1"/>
        </w:rPr>
        <w:t>public information and communication technology (Accessible Canada Act</w:t>
      </w:r>
      <w:r w:rsidR="00163567" w:rsidRPr="00D13B67">
        <w:rPr>
          <w:rFonts w:ascii="Aptos" w:eastAsia="Aptos" w:hAnsi="Aptos" w:cs="Aptos"/>
          <w:color w:val="000000" w:themeColor="text1"/>
        </w:rPr>
        <w:t>, 2019)</w:t>
      </w:r>
      <w:r w:rsidR="00653E40" w:rsidRPr="00D13B67">
        <w:rPr>
          <w:rFonts w:ascii="Aptos" w:eastAsia="Aptos" w:hAnsi="Aptos" w:cs="Aptos"/>
          <w:color w:val="000000" w:themeColor="text1"/>
        </w:rPr>
        <w:t xml:space="preserve">. The Accessible British Columbia Act </w:t>
      </w:r>
      <w:r w:rsidR="00F01F4C" w:rsidRPr="00D13B67">
        <w:rPr>
          <w:rFonts w:ascii="Aptos" w:eastAsia="Aptos" w:hAnsi="Aptos" w:cs="Aptos"/>
          <w:color w:val="000000" w:themeColor="text1"/>
        </w:rPr>
        <w:t>(Accessible BC Act)</w:t>
      </w:r>
      <w:r w:rsidR="00653E40" w:rsidRPr="00D13B67">
        <w:rPr>
          <w:rFonts w:ascii="Aptos" w:eastAsia="Aptos" w:hAnsi="Aptos" w:cs="Aptos"/>
          <w:color w:val="000000" w:themeColor="text1"/>
        </w:rPr>
        <w:t xml:space="preserve"> was passed in 2021 (Accessible British Columbia Act, 2021).</w:t>
      </w:r>
      <w:r w:rsidR="001D0F6B" w:rsidRPr="00D13B67">
        <w:rPr>
          <w:rFonts w:ascii="Aptos" w:eastAsia="Aptos" w:hAnsi="Aptos" w:cs="Aptos"/>
          <w:color w:val="000000" w:themeColor="text1"/>
        </w:rPr>
        <w:t xml:space="preserve"> </w:t>
      </w:r>
      <w:r w:rsidR="00F01F4C" w:rsidRPr="00D13B67">
        <w:rPr>
          <w:rFonts w:ascii="Aptos" w:eastAsia="Aptos" w:hAnsi="Aptos" w:cs="Aptos"/>
          <w:color w:val="000000" w:themeColor="text1"/>
        </w:rPr>
        <w:t>The ACA and Accessible BC Act</w:t>
      </w:r>
      <w:r w:rsidR="001D0F6B" w:rsidRPr="00D13B67">
        <w:rPr>
          <w:rFonts w:ascii="Aptos" w:eastAsia="Aptos" w:hAnsi="Aptos" w:cs="Aptos"/>
          <w:color w:val="000000" w:themeColor="text1"/>
        </w:rPr>
        <w:t xml:space="preserve"> are, as of 202</w:t>
      </w:r>
      <w:r w:rsidR="00F01F4C" w:rsidRPr="00D13B67">
        <w:rPr>
          <w:rFonts w:ascii="Aptos" w:eastAsia="Aptos" w:hAnsi="Aptos" w:cs="Aptos"/>
          <w:color w:val="000000" w:themeColor="text1"/>
        </w:rPr>
        <w:t>6</w:t>
      </w:r>
      <w:r w:rsidR="001D0F6B" w:rsidRPr="00D13B67">
        <w:rPr>
          <w:rFonts w:ascii="Aptos" w:eastAsia="Aptos" w:hAnsi="Aptos" w:cs="Aptos"/>
          <w:color w:val="000000" w:themeColor="text1"/>
        </w:rPr>
        <w:t>, in a phased roll out</w:t>
      </w:r>
      <w:r w:rsidR="008C03AC" w:rsidRPr="00D13B67">
        <w:rPr>
          <w:rFonts w:ascii="Aptos" w:eastAsia="Aptos" w:hAnsi="Aptos" w:cs="Aptos"/>
          <w:color w:val="000000" w:themeColor="text1"/>
        </w:rPr>
        <w:t xml:space="preserve"> including incomplete standards and have not faced significant legal tests. </w:t>
      </w:r>
      <w:r w:rsidR="00E070D7" w:rsidRPr="00D13B67">
        <w:rPr>
          <w:rFonts w:ascii="Aptos" w:eastAsia="Aptos" w:hAnsi="Aptos" w:cs="Aptos"/>
          <w:color w:val="000000" w:themeColor="text1"/>
        </w:rPr>
        <w:t xml:space="preserve">Legislative efforts to improve digital accessibility have been, as </w:t>
      </w:r>
      <w:r w:rsidR="00E070D7" w:rsidRPr="00D13B67">
        <w:rPr>
          <w:rFonts w:ascii="Aptos" w:eastAsia="Aptos" w:hAnsi="Aptos" w:cs="Aptos"/>
          <w:color w:val="000000" w:themeColor="text1"/>
        </w:rPr>
        <w:lastRenderedPageBreak/>
        <w:t xml:space="preserve">discussed below, ineffective. </w:t>
      </w:r>
      <w:r w:rsidR="00A77D64" w:rsidRPr="00D13B67">
        <w:rPr>
          <w:rFonts w:ascii="Aptos" w:eastAsia="Aptos" w:hAnsi="Aptos" w:cs="Aptos"/>
          <w:color w:val="000000" w:themeColor="text1"/>
        </w:rPr>
        <w:t xml:space="preserve">However, that does not mean the efforts are in vain. </w:t>
      </w:r>
      <w:r w:rsidR="0060533A" w:rsidRPr="00D13B67">
        <w:rPr>
          <w:rFonts w:ascii="Aptos" w:eastAsia="Aptos" w:hAnsi="Aptos" w:cs="Aptos"/>
          <w:color w:val="000000" w:themeColor="text1"/>
        </w:rPr>
        <w:t>I</w:t>
      </w:r>
      <w:r w:rsidR="00A77D64" w:rsidRPr="00D13B67">
        <w:rPr>
          <w:rFonts w:ascii="Aptos" w:eastAsia="Aptos" w:hAnsi="Aptos" w:cs="Aptos"/>
          <w:color w:val="000000" w:themeColor="text1"/>
        </w:rPr>
        <w:t xml:space="preserve">n addition to legislation, more must be done to improve access to technology and </w:t>
      </w:r>
      <w:r w:rsidR="00B1523C" w:rsidRPr="00D13B67">
        <w:rPr>
          <w:rFonts w:ascii="Aptos" w:eastAsia="Aptos" w:hAnsi="Aptos" w:cs="Aptos"/>
          <w:color w:val="000000" w:themeColor="text1"/>
        </w:rPr>
        <w:t>digital</w:t>
      </w:r>
      <w:r w:rsidR="00A77D64" w:rsidRPr="00D13B67">
        <w:rPr>
          <w:rFonts w:ascii="Aptos" w:eastAsia="Aptos" w:hAnsi="Aptos" w:cs="Aptos"/>
          <w:color w:val="000000" w:themeColor="text1"/>
        </w:rPr>
        <w:t xml:space="preserve"> content </w:t>
      </w:r>
      <w:r w:rsidR="00CB01E4" w:rsidRPr="00D13B67">
        <w:rPr>
          <w:rFonts w:ascii="Aptos" w:eastAsia="Aptos" w:hAnsi="Aptos" w:cs="Aptos"/>
          <w:color w:val="000000" w:themeColor="text1"/>
        </w:rPr>
        <w:t>because</w:t>
      </w:r>
      <w:r w:rsidR="002D4CE6" w:rsidRPr="00D13B67">
        <w:rPr>
          <w:rFonts w:ascii="Aptos" w:eastAsia="Aptos" w:hAnsi="Aptos" w:cs="Aptos"/>
          <w:color w:val="000000" w:themeColor="text1"/>
        </w:rPr>
        <w:t xml:space="preserve"> “for the rights of the disabled to mean anything in today’s world, they must be extended to cyberspace no less than to parking spaces (“A More Accessible Internet,” 1999).</w:t>
      </w:r>
    </w:p>
    <w:p w14:paraId="099785B7" w14:textId="0D97395A" w:rsidR="002D4CE6" w:rsidRPr="00D13B67" w:rsidRDefault="00DB61B6" w:rsidP="00EB2B3C">
      <w:pPr>
        <w:pStyle w:val="Heading4"/>
        <w:rPr>
          <w:rFonts w:ascii="Aptos" w:eastAsia="Aptos" w:hAnsi="Aptos" w:cs="Aptos"/>
          <w:sz w:val="24"/>
          <w:szCs w:val="24"/>
        </w:rPr>
      </w:pPr>
      <w:bookmarkStart w:id="25" w:name="_Toc228867980"/>
      <w:r w:rsidRPr="00D13B67">
        <w:t>2.</w:t>
      </w:r>
      <w:r w:rsidR="00C13CB3" w:rsidRPr="00D13B67">
        <w:t>3</w:t>
      </w:r>
      <w:r w:rsidR="002D4CE6" w:rsidRPr="00D13B67">
        <w:t xml:space="preserve">.2 </w:t>
      </w:r>
      <w:r w:rsidR="00DE38C6" w:rsidRPr="00D13B67">
        <w:t>Shortcomings</w:t>
      </w:r>
      <w:r w:rsidR="002D4CE6" w:rsidRPr="00D13B67">
        <w:t xml:space="preserve"> of Accessibility Legislation</w:t>
      </w:r>
      <w:bookmarkEnd w:id="25"/>
    </w:p>
    <w:p w14:paraId="59A7C545" w14:textId="12DFCCAC" w:rsidR="006E0648" w:rsidRPr="00D13B67" w:rsidRDefault="00E41C22" w:rsidP="006E0648">
      <w:pPr>
        <w:pStyle w:val="Body"/>
        <w:rPr>
          <w:rFonts w:eastAsia="Aptos"/>
        </w:rPr>
      </w:pPr>
      <w:r w:rsidRPr="00D13B67">
        <w:t xml:space="preserve">Despite </w:t>
      </w:r>
      <w:r w:rsidR="00A46F76" w:rsidRPr="00D13B67">
        <w:t>accessibility</w:t>
      </w:r>
      <w:r w:rsidRPr="00D13B67">
        <w:t xml:space="preserve"> laws and initiatives</w:t>
      </w:r>
      <w:r w:rsidR="002D4CE6" w:rsidRPr="00D13B67">
        <w:t xml:space="preserve">, data suggests that the passage of accessibility legislation does </w:t>
      </w:r>
      <w:r w:rsidR="00A46F76" w:rsidRPr="00D13B67">
        <w:t>result in</w:t>
      </w:r>
      <w:r w:rsidR="002D4CE6" w:rsidRPr="00D13B67">
        <w:t xml:space="preserve"> </w:t>
      </w:r>
      <w:r w:rsidR="00A46F76" w:rsidRPr="00D13B67">
        <w:t>significantly</w:t>
      </w:r>
      <w:r w:rsidR="002D4CE6" w:rsidRPr="00D13B67">
        <w:t xml:space="preserve"> increased </w:t>
      </w:r>
      <w:r w:rsidR="004E3900" w:rsidRPr="00D13B67">
        <w:t xml:space="preserve">digital </w:t>
      </w:r>
      <w:r w:rsidR="002D4CE6" w:rsidRPr="00D13B67">
        <w:t xml:space="preserve">accessibility. Consider, in </w:t>
      </w:r>
      <w:r w:rsidR="006E0648" w:rsidRPr="00D13B67">
        <w:t>relation</w:t>
      </w:r>
      <w:r w:rsidR="002D4CE6" w:rsidRPr="00D13B67">
        <w:t xml:space="preserve"> to the increasing rates of students approved for academic accommodations, the number of inaccessible websites, the consistent access issues with digital file formats, and accessibility issues within learning management systems. </w:t>
      </w:r>
      <w:r w:rsidR="006E0648" w:rsidRPr="00D13B67">
        <w:rPr>
          <w:rFonts w:eastAsia="Aptos"/>
        </w:rPr>
        <w:t>Vint Cerf, one of the internet’s earliest architects, laments the lack of enforcement of accessibility legislation, stating: “It’s almost criminal that programmers have not had their feet held to the fire to build interfaces that are accommodating for people [with disabilities]” (</w:t>
      </w:r>
      <w:proofErr w:type="spellStart"/>
      <w:r w:rsidR="006E0648" w:rsidRPr="00D13B67">
        <w:rPr>
          <w:rFonts w:eastAsia="Aptos"/>
        </w:rPr>
        <w:t>Solsman</w:t>
      </w:r>
      <w:proofErr w:type="spellEnd"/>
      <w:r w:rsidR="006E0648" w:rsidRPr="00D13B67">
        <w:rPr>
          <w:rFonts w:eastAsia="Aptos"/>
        </w:rPr>
        <w:t xml:space="preserve">, 2017). If legislation were enforced, </w:t>
      </w:r>
      <w:r w:rsidR="00B82D35" w:rsidRPr="00D13B67">
        <w:rPr>
          <w:rFonts w:eastAsia="Aptos"/>
        </w:rPr>
        <w:t>there would be significant penalties for companies, programmers, and authors that created in</w:t>
      </w:r>
      <w:r w:rsidR="006E0648" w:rsidRPr="00D13B67">
        <w:rPr>
          <w:rFonts w:eastAsia="Aptos"/>
        </w:rPr>
        <w:t xml:space="preserve">accessible content. As disability lawyer Lainey Feingold notes, the lack of digital accessibility is “inexcusable because we </w:t>
      </w:r>
      <w:r w:rsidR="006E0648" w:rsidRPr="00D13B67">
        <w:rPr>
          <w:rFonts w:eastAsia="Aptos"/>
          <w:i/>
        </w:rPr>
        <w:t>know</w:t>
      </w:r>
      <w:r w:rsidR="006E0648" w:rsidRPr="00D13B67">
        <w:rPr>
          <w:rFonts w:eastAsia="Aptos"/>
        </w:rPr>
        <w:t xml:space="preserve"> how to design and build technology and digital content that disabled people can use” (Feingold, 2026, p. 3).</w:t>
      </w:r>
    </w:p>
    <w:p w14:paraId="72281EC7" w14:textId="73A7777F" w:rsidR="00BE2D44" w:rsidRPr="00D13B67" w:rsidRDefault="00A104AD" w:rsidP="00BE2D44">
      <w:pPr>
        <w:pStyle w:val="Body"/>
        <w:rPr>
          <w:rFonts w:eastAsia="Aptos"/>
        </w:rPr>
      </w:pPr>
      <w:r w:rsidRPr="00D13B67">
        <w:rPr>
          <w:rFonts w:eastAsia="Aptos"/>
        </w:rPr>
        <w:t>While</w:t>
      </w:r>
      <w:r w:rsidR="002D4CE6" w:rsidRPr="00D13B67">
        <w:rPr>
          <w:rFonts w:eastAsia="Aptos"/>
        </w:rPr>
        <w:t xml:space="preserve"> guidelines and legislation may be useful starting points</w:t>
      </w:r>
      <w:r w:rsidR="004216CF" w:rsidRPr="00D13B67">
        <w:rPr>
          <w:rFonts w:eastAsia="Aptos"/>
        </w:rPr>
        <w:t xml:space="preserve"> to making more accessible content</w:t>
      </w:r>
      <w:r w:rsidR="002D4CE6" w:rsidRPr="00D13B67">
        <w:rPr>
          <w:rFonts w:eastAsia="Aptos"/>
        </w:rPr>
        <w:t>, clarity in language</w:t>
      </w:r>
      <w:r w:rsidR="00D45DAE" w:rsidRPr="00D13B67">
        <w:rPr>
          <w:rFonts w:eastAsia="Aptos"/>
        </w:rPr>
        <w:t xml:space="preserve">, </w:t>
      </w:r>
      <w:r w:rsidR="002D4CE6" w:rsidRPr="00D13B67">
        <w:rPr>
          <w:rFonts w:eastAsia="Aptos"/>
        </w:rPr>
        <w:t>recommendations on formats</w:t>
      </w:r>
      <w:r w:rsidR="00D45DAE" w:rsidRPr="00D13B67">
        <w:rPr>
          <w:rFonts w:eastAsia="Aptos"/>
        </w:rPr>
        <w:t xml:space="preserve">, </w:t>
      </w:r>
      <w:r w:rsidR="007A15FC" w:rsidRPr="00D13B67">
        <w:rPr>
          <w:rFonts w:eastAsia="Aptos"/>
        </w:rPr>
        <w:t xml:space="preserve">and </w:t>
      </w:r>
      <w:r w:rsidR="00D45DAE" w:rsidRPr="00D13B67">
        <w:rPr>
          <w:rFonts w:eastAsia="Aptos"/>
        </w:rPr>
        <w:t xml:space="preserve">specific </w:t>
      </w:r>
      <w:r w:rsidR="00731A0B" w:rsidRPr="00D13B67">
        <w:rPr>
          <w:rFonts w:eastAsia="Aptos"/>
        </w:rPr>
        <w:t>reference</w:t>
      </w:r>
      <w:r w:rsidR="007A15FC" w:rsidRPr="00D13B67">
        <w:rPr>
          <w:rFonts w:eastAsia="Aptos"/>
        </w:rPr>
        <w:t>s to</w:t>
      </w:r>
      <w:r w:rsidR="00731A0B" w:rsidRPr="00D13B67">
        <w:rPr>
          <w:rFonts w:eastAsia="Aptos"/>
        </w:rPr>
        <w:t xml:space="preserve"> digital accessibility are needed</w:t>
      </w:r>
      <w:r w:rsidR="002D4CE6" w:rsidRPr="00D13B67">
        <w:rPr>
          <w:rFonts w:eastAsia="Aptos"/>
        </w:rPr>
        <w:t xml:space="preserve"> to make significant progress in the </w:t>
      </w:r>
      <w:r w:rsidR="002D4CE6" w:rsidRPr="00D13B67">
        <w:rPr>
          <w:rFonts w:eastAsia="Aptos"/>
        </w:rPr>
        <w:lastRenderedPageBreak/>
        <w:t>accessibility of digital learning material (</w:t>
      </w:r>
      <w:r w:rsidR="00C0466C" w:rsidRPr="00D13B67">
        <w:rPr>
          <w:rFonts w:eastAsia="Aptos"/>
        </w:rPr>
        <w:t xml:space="preserve">Marcus-Quinn, 2022; </w:t>
      </w:r>
      <w:r w:rsidR="00D45DAE" w:rsidRPr="00D13B67">
        <w:rPr>
          <w:rFonts w:eastAsia="Aptos"/>
        </w:rPr>
        <w:t>Sciar</w:t>
      </w:r>
      <w:r w:rsidR="00A31AC2" w:rsidRPr="00D13B67">
        <w:rPr>
          <w:rFonts w:eastAsia="Aptos"/>
        </w:rPr>
        <w:t>r</w:t>
      </w:r>
      <w:r w:rsidR="00D45DAE" w:rsidRPr="00D13B67">
        <w:rPr>
          <w:rFonts w:eastAsia="Aptos"/>
        </w:rPr>
        <w:t xml:space="preserve">etta, </w:t>
      </w:r>
      <w:r w:rsidR="002D4CE6" w:rsidRPr="00D13B67">
        <w:rPr>
          <w:rFonts w:eastAsia="Aptos"/>
        </w:rPr>
        <w:t xml:space="preserve">2025). </w:t>
      </w:r>
      <w:r w:rsidR="002D4CE6" w:rsidRPr="00D13B67">
        <w:t xml:space="preserve">A 2023 study in the United Kingdom found that three decades of legislation and educational policy change had little effect on reducing inequalities and no change in educational attainment </w:t>
      </w:r>
      <w:r w:rsidR="009256A5" w:rsidRPr="00D13B67">
        <w:t>for visually impaired individuals</w:t>
      </w:r>
      <w:r w:rsidR="002D4CE6" w:rsidRPr="00D13B67">
        <w:t xml:space="preserve"> (</w:t>
      </w:r>
      <w:proofErr w:type="spellStart"/>
      <w:r w:rsidR="002D4CE6" w:rsidRPr="00D13B67">
        <w:rPr>
          <w:rFonts w:eastAsia="Aptos"/>
        </w:rPr>
        <w:t>Bountziouka</w:t>
      </w:r>
      <w:proofErr w:type="spellEnd"/>
      <w:r w:rsidR="002D4CE6" w:rsidRPr="00D13B67">
        <w:rPr>
          <w:rFonts w:eastAsia="Aptos"/>
        </w:rPr>
        <w:t xml:space="preserve"> et al., 2023).</w:t>
      </w:r>
      <w:r w:rsidR="002D4CE6" w:rsidRPr="00D13B67">
        <w:t xml:space="preserve"> </w:t>
      </w:r>
    </w:p>
    <w:p w14:paraId="29FE7775" w14:textId="37E38BE0" w:rsidR="00796D9D" w:rsidRPr="00D13B67" w:rsidRDefault="00BE2D44" w:rsidP="00796D9D">
      <w:pPr>
        <w:pStyle w:val="Body"/>
        <w:rPr>
          <w:rFonts w:ascii="Aptos" w:eastAsia="Aptos" w:hAnsi="Aptos" w:cs="Aptos"/>
        </w:rPr>
      </w:pPr>
      <w:r w:rsidRPr="00D13B67">
        <w:rPr>
          <w:rFonts w:ascii="Aptos" w:eastAsia="Aptos" w:hAnsi="Aptos" w:cs="Aptos"/>
        </w:rPr>
        <w:t>A</w:t>
      </w:r>
      <w:r w:rsidR="002D4CE6" w:rsidRPr="00D13B67">
        <w:t>ccessibility legislation</w:t>
      </w:r>
      <w:r w:rsidRPr="00D13B67">
        <w:t xml:space="preserve"> may not significantly improve digital accessibility due to</w:t>
      </w:r>
      <w:r w:rsidR="002D4CE6" w:rsidRPr="00D13B67">
        <w:t xml:space="preserve"> lack of awareness about digital accessibility and unclear technical requirements within legislation (Ashbourne, 2024; </w:t>
      </w:r>
      <w:proofErr w:type="spellStart"/>
      <w:r w:rsidR="002D4CE6" w:rsidRPr="00D13B67">
        <w:t>Cerovac</w:t>
      </w:r>
      <w:proofErr w:type="spellEnd"/>
      <w:r w:rsidR="002D4CE6" w:rsidRPr="00D13B67">
        <w:t>, 2024). A lack of awareness means practices are harder to normalize and implement. Accessibility legislation often frames accessibility as a cost, rather than focusing on benefits (</w:t>
      </w:r>
      <w:proofErr w:type="spellStart"/>
      <w:r w:rsidR="002D4CE6" w:rsidRPr="00D13B67">
        <w:t>Cerovac</w:t>
      </w:r>
      <w:proofErr w:type="spellEnd"/>
      <w:r w:rsidR="002D4CE6" w:rsidRPr="00D13B67">
        <w:t xml:space="preserve">, 2024). </w:t>
      </w:r>
      <w:r w:rsidR="0015565E" w:rsidRPr="00D13B67">
        <w:t xml:space="preserve">This framing allows decision makers to </w:t>
      </w:r>
      <w:r w:rsidR="00280359" w:rsidRPr="00D13B67">
        <w:t xml:space="preserve">de-emphasize accessibility </w:t>
      </w:r>
      <w:r w:rsidR="00194875" w:rsidRPr="00D13B67">
        <w:t xml:space="preserve">in times of austerity. </w:t>
      </w:r>
      <w:r w:rsidR="002D4CE6" w:rsidRPr="00D13B67">
        <w:rPr>
          <w:rFonts w:ascii="Aptos" w:eastAsia="Aptos" w:hAnsi="Aptos" w:cs="Aptos"/>
        </w:rPr>
        <w:t xml:space="preserve">Accessibility legislation may create a dichotomy between disabled people and society by allowing critics to portray disabled people as malcontents freeloading off government handouts or abusing litigation for personal profit (Dolmage, 2017; Dorfman </w:t>
      </w:r>
      <w:r w:rsidR="008825D3" w:rsidRPr="00D13B67">
        <w:rPr>
          <w:rFonts w:ascii="Aptos" w:eastAsia="Aptos" w:hAnsi="Aptos" w:cs="Aptos"/>
        </w:rPr>
        <w:t>&amp;</w:t>
      </w:r>
      <w:r w:rsidR="002D4CE6" w:rsidRPr="00D13B67">
        <w:rPr>
          <w:rFonts w:ascii="Aptos" w:eastAsia="Aptos" w:hAnsi="Aptos" w:cs="Aptos"/>
        </w:rPr>
        <w:t xml:space="preserve"> Burke, 2020). Civil rights laws, </w:t>
      </w:r>
      <w:r w:rsidR="004216CF" w:rsidRPr="00D13B67">
        <w:rPr>
          <w:rFonts w:ascii="Aptos" w:eastAsia="Aptos" w:hAnsi="Aptos" w:cs="Aptos"/>
        </w:rPr>
        <w:t xml:space="preserve">such as </w:t>
      </w:r>
      <w:r w:rsidR="002D4CE6" w:rsidRPr="00D13B67">
        <w:rPr>
          <w:rFonts w:ascii="Aptos" w:eastAsia="Aptos" w:hAnsi="Aptos" w:cs="Aptos"/>
        </w:rPr>
        <w:t xml:space="preserve">accessibility legislation, have historically faced backlash and skepticism. Tests of laws often dilute the intent, such as revisions of the ADA, while some parts of laws are not enforced and exclusion remains (Dolmage, </w:t>
      </w:r>
      <w:r w:rsidR="001D303D" w:rsidRPr="00D13B67">
        <w:rPr>
          <w:rFonts w:ascii="Aptos" w:eastAsia="Aptos" w:hAnsi="Aptos" w:cs="Aptos"/>
        </w:rPr>
        <w:t>2017</w:t>
      </w:r>
      <w:r w:rsidR="002D4CE6" w:rsidRPr="00D13B67">
        <w:rPr>
          <w:rFonts w:ascii="Aptos" w:eastAsia="Aptos" w:hAnsi="Aptos" w:cs="Aptos"/>
        </w:rPr>
        <w:t xml:space="preserve">). While disabled people are often consulted on the terms of legislation and policy, their contributions may not be centered sufficiently to ensure meaningful change comes from legislative efforts. However, the principles of inclusive design and initiatives such as All Standards With Us aim to include disabled people in the creation of standards, policy and legislation because “when more people with disabilities and Deaf people get involved in the standards process, the goods </w:t>
      </w:r>
      <w:r w:rsidR="002D4CE6" w:rsidRPr="00D13B67">
        <w:rPr>
          <w:rFonts w:ascii="Aptos" w:eastAsia="Aptos" w:hAnsi="Aptos" w:cs="Aptos"/>
        </w:rPr>
        <w:lastRenderedPageBreak/>
        <w:t>and services we use in our daily lives become more accessible and inclusive” (Inclusive Design Research Centr</w:t>
      </w:r>
      <w:r w:rsidR="00F1705B" w:rsidRPr="00D13B67">
        <w:rPr>
          <w:rFonts w:ascii="Aptos" w:eastAsia="Aptos" w:hAnsi="Aptos" w:cs="Aptos"/>
        </w:rPr>
        <w:t>e</w:t>
      </w:r>
      <w:r w:rsidR="002D4CE6" w:rsidRPr="00D13B67">
        <w:rPr>
          <w:rFonts w:ascii="Aptos" w:eastAsia="Aptos" w:hAnsi="Aptos" w:cs="Aptos"/>
        </w:rPr>
        <w:t>, 2025).</w:t>
      </w:r>
    </w:p>
    <w:p w14:paraId="6A334836" w14:textId="4C427404" w:rsidR="00570A50" w:rsidRPr="00D13B67" w:rsidRDefault="00570A50" w:rsidP="00570A50">
      <w:pPr>
        <w:pStyle w:val="Heading5"/>
      </w:pPr>
      <w:r w:rsidRPr="00D13B67">
        <w:t>Americans with Disabilities Act</w:t>
      </w:r>
    </w:p>
    <w:p w14:paraId="458E9F25" w14:textId="1E939A35" w:rsidR="006F0B39" w:rsidRPr="00D13B67" w:rsidRDefault="002D4CE6" w:rsidP="006F0B39">
      <w:pPr>
        <w:pStyle w:val="Body"/>
        <w:rPr>
          <w:rFonts w:ascii="Aptos" w:eastAsia="Aptos" w:hAnsi="Aptos" w:cs="Aptos"/>
        </w:rPr>
      </w:pPr>
      <w:r w:rsidRPr="00D13B67">
        <w:t>While the ADA may have had some positive impacts, discrimination and massive disparities between disabled and non-disabled people remain, particularly in employment where early research suggested the ADA reduced employment amongst people with disabilities (</w:t>
      </w:r>
      <w:r w:rsidRPr="00D13B67">
        <w:rPr>
          <w:rFonts w:ascii="Aptos" w:eastAsia="Aptos" w:hAnsi="Aptos" w:cs="Aptos"/>
        </w:rPr>
        <w:t>Button et al., 2016;</w:t>
      </w:r>
      <w:r w:rsidRPr="00D13B67">
        <w:t xml:space="preserve"> Dorfman </w:t>
      </w:r>
      <w:r w:rsidR="005866B0" w:rsidRPr="00D13B67">
        <w:t>&amp;</w:t>
      </w:r>
      <w:r w:rsidRPr="00D13B67">
        <w:t xml:space="preserve"> Burke, 2020). More recent data suggests while 79.4% of non-disabled Americans are employed only 37% of people with disabilities are (Wu et al., 2022).</w:t>
      </w:r>
      <w:r w:rsidR="000E69AA" w:rsidRPr="00D13B67">
        <w:t xml:space="preserve"> </w:t>
      </w:r>
      <w:r w:rsidR="00AA450D" w:rsidRPr="00D13B67">
        <w:t xml:space="preserve">In some states, the rate of educational participation by disabled Americans increased after the ADA’s enactment, although the study’s data was limited (Jolls, 2004). </w:t>
      </w:r>
      <w:r w:rsidR="000E69AA" w:rsidRPr="00D13B67">
        <w:t>Specific to digital accessibility, c</w:t>
      </w:r>
      <w:r w:rsidR="000E69AA" w:rsidRPr="00D13B67">
        <w:rPr>
          <w:rFonts w:ascii="Aptos" w:eastAsia="Aptos" w:hAnsi="Aptos" w:cs="Aptos"/>
        </w:rPr>
        <w:t>ritics</w:t>
      </w:r>
      <w:r w:rsidRPr="00D13B67">
        <w:rPr>
          <w:rFonts w:ascii="Aptos" w:eastAsia="Aptos" w:hAnsi="Aptos" w:cs="Aptos"/>
        </w:rPr>
        <w:t xml:space="preserve"> note that a significant loophole </w:t>
      </w:r>
      <w:r w:rsidR="000E69AA" w:rsidRPr="00D13B67">
        <w:rPr>
          <w:rFonts w:ascii="Aptos" w:eastAsia="Aptos" w:hAnsi="Aptos" w:cs="Aptos"/>
        </w:rPr>
        <w:t xml:space="preserve">in the ADA </w:t>
      </w:r>
      <w:r w:rsidRPr="00D13B67">
        <w:rPr>
          <w:rFonts w:ascii="Aptos" w:eastAsia="Aptos" w:hAnsi="Aptos" w:cs="Aptos"/>
        </w:rPr>
        <w:t xml:space="preserve">allows for the creation of inaccessible technology and information provided it may eventually be made accessible. This transformation rarely occurs and the law “allows for separate but </w:t>
      </w:r>
      <w:proofErr w:type="gramStart"/>
      <w:r w:rsidRPr="00D13B67">
        <w:rPr>
          <w:rFonts w:ascii="Aptos" w:eastAsia="Aptos" w:hAnsi="Aptos" w:cs="Aptos"/>
        </w:rPr>
        <w:t>equal, but</w:t>
      </w:r>
      <w:proofErr w:type="gramEnd"/>
      <w:r w:rsidRPr="00D13B67">
        <w:rPr>
          <w:rFonts w:ascii="Aptos" w:eastAsia="Aptos" w:hAnsi="Aptos" w:cs="Aptos"/>
        </w:rPr>
        <w:t xml:space="preserve"> usually results in simply unequal” (Wentz et al., 2011).</w:t>
      </w:r>
      <w:r w:rsidR="00AA450D" w:rsidRPr="00D13B67">
        <w:rPr>
          <w:rFonts w:ascii="Aptos" w:eastAsia="Aptos" w:hAnsi="Aptos" w:cs="Aptos"/>
        </w:rPr>
        <w:t xml:space="preserve"> Critics note that the ADA has been largely unenforced, with courts spending significant time on definitions of “</w:t>
      </w:r>
      <w:r w:rsidR="0047370D" w:rsidRPr="00D13B67">
        <w:rPr>
          <w:rFonts w:ascii="Aptos" w:eastAsia="Aptos" w:hAnsi="Aptos" w:cs="Aptos"/>
        </w:rPr>
        <w:t>‘</w:t>
      </w:r>
      <w:r w:rsidR="00AA450D" w:rsidRPr="00D13B67">
        <w:rPr>
          <w:rFonts w:ascii="Aptos" w:eastAsia="Aptos" w:hAnsi="Aptos" w:cs="Aptos"/>
        </w:rPr>
        <w:t>reasonable accommodation,</w:t>
      </w:r>
      <w:r w:rsidR="0047370D" w:rsidRPr="00D13B67">
        <w:rPr>
          <w:rFonts w:ascii="Aptos" w:eastAsia="Aptos" w:hAnsi="Aptos" w:cs="Aptos"/>
        </w:rPr>
        <w:t>’</w:t>
      </w:r>
      <w:r w:rsidR="00AA450D" w:rsidRPr="00D13B67">
        <w:rPr>
          <w:rFonts w:ascii="Aptos" w:eastAsia="Aptos" w:hAnsi="Aptos" w:cs="Aptos"/>
        </w:rPr>
        <w:t xml:space="preserve"> </w:t>
      </w:r>
      <w:r w:rsidR="0047370D" w:rsidRPr="00D13B67">
        <w:rPr>
          <w:rFonts w:ascii="Aptos" w:eastAsia="Aptos" w:hAnsi="Aptos" w:cs="Aptos"/>
        </w:rPr>
        <w:t>‘</w:t>
      </w:r>
      <w:r w:rsidR="00AA450D" w:rsidRPr="00D13B67">
        <w:rPr>
          <w:rFonts w:ascii="Aptos" w:eastAsia="Aptos" w:hAnsi="Aptos" w:cs="Aptos"/>
        </w:rPr>
        <w:t>undue hardship,</w:t>
      </w:r>
      <w:r w:rsidR="0047370D" w:rsidRPr="00D13B67">
        <w:rPr>
          <w:rFonts w:ascii="Aptos" w:eastAsia="Aptos" w:hAnsi="Aptos" w:cs="Aptos"/>
        </w:rPr>
        <w:t>’</w:t>
      </w:r>
      <w:r w:rsidR="00AA450D" w:rsidRPr="00D13B67">
        <w:rPr>
          <w:rFonts w:ascii="Aptos" w:eastAsia="Aptos" w:hAnsi="Aptos" w:cs="Aptos"/>
        </w:rPr>
        <w:t xml:space="preserve"> and </w:t>
      </w:r>
      <w:r w:rsidR="0047370D" w:rsidRPr="00D13B67">
        <w:rPr>
          <w:rFonts w:ascii="Aptos" w:eastAsia="Aptos" w:hAnsi="Aptos" w:cs="Aptos"/>
        </w:rPr>
        <w:t>‘</w:t>
      </w:r>
      <w:r w:rsidR="00AA450D" w:rsidRPr="00D13B67">
        <w:rPr>
          <w:rFonts w:ascii="Aptos" w:eastAsia="Aptos" w:hAnsi="Aptos" w:cs="Aptos"/>
        </w:rPr>
        <w:t>readily accessible</w:t>
      </w:r>
      <w:r w:rsidR="0047370D" w:rsidRPr="00D13B67">
        <w:rPr>
          <w:rFonts w:ascii="Aptos" w:eastAsia="Aptos" w:hAnsi="Aptos" w:cs="Aptos"/>
        </w:rPr>
        <w:t>’</w:t>
      </w:r>
      <w:r w:rsidR="00AA450D" w:rsidRPr="00D13B67">
        <w:rPr>
          <w:rFonts w:ascii="Aptos" w:eastAsia="Aptos" w:hAnsi="Aptos" w:cs="Aptos"/>
        </w:rPr>
        <w:t>”</w:t>
      </w:r>
      <w:r w:rsidR="005B4878" w:rsidRPr="00D13B67">
        <w:rPr>
          <w:rFonts w:ascii="Aptos" w:eastAsia="Aptos" w:hAnsi="Aptos" w:cs="Aptos"/>
        </w:rPr>
        <w:t xml:space="preserve"> </w:t>
      </w:r>
      <w:r w:rsidR="00AA450D" w:rsidRPr="00D13B67">
        <w:rPr>
          <w:rFonts w:ascii="Aptos" w:eastAsia="Aptos" w:hAnsi="Aptos" w:cs="Aptos"/>
        </w:rPr>
        <w:t xml:space="preserve">(Dorfman </w:t>
      </w:r>
      <w:r w:rsidR="00E64291" w:rsidRPr="00D13B67">
        <w:rPr>
          <w:rFonts w:ascii="Aptos" w:eastAsia="Aptos" w:hAnsi="Aptos" w:cs="Aptos"/>
        </w:rPr>
        <w:t>&amp;</w:t>
      </w:r>
      <w:r w:rsidR="00AA450D" w:rsidRPr="00D13B67">
        <w:rPr>
          <w:rFonts w:ascii="Aptos" w:eastAsia="Aptos" w:hAnsi="Aptos" w:cs="Aptos"/>
        </w:rPr>
        <w:t xml:space="preserve"> Burke, 2020).</w:t>
      </w:r>
      <w:r w:rsidR="00D6518C" w:rsidRPr="00D13B67">
        <w:rPr>
          <w:rFonts w:ascii="Aptos" w:eastAsia="Aptos" w:hAnsi="Aptos" w:cs="Aptos"/>
        </w:rPr>
        <w:t xml:space="preserve"> </w:t>
      </w:r>
      <w:r w:rsidR="00BB79F1" w:rsidRPr="00D13B67">
        <w:rPr>
          <w:rFonts w:ascii="Aptos" w:eastAsia="Aptos" w:hAnsi="Aptos" w:cs="Aptos"/>
        </w:rPr>
        <w:t xml:space="preserve">How those terms are defined matters to disabled people. When allowed, an institution can claim </w:t>
      </w:r>
      <w:r w:rsidR="00065CDD" w:rsidRPr="00D13B67">
        <w:rPr>
          <w:rFonts w:ascii="Aptos" w:eastAsia="Aptos" w:hAnsi="Aptos" w:cs="Aptos"/>
        </w:rPr>
        <w:t xml:space="preserve">what would be required to </w:t>
      </w:r>
      <w:r w:rsidR="00BB79F1" w:rsidRPr="00D13B67">
        <w:rPr>
          <w:rFonts w:ascii="Aptos" w:eastAsia="Aptos" w:hAnsi="Aptos" w:cs="Aptos"/>
        </w:rPr>
        <w:t>accommodat</w:t>
      </w:r>
      <w:r w:rsidR="00065CDD" w:rsidRPr="00D13B67">
        <w:rPr>
          <w:rFonts w:ascii="Aptos" w:eastAsia="Aptos" w:hAnsi="Aptos" w:cs="Aptos"/>
        </w:rPr>
        <w:t>e someone would</w:t>
      </w:r>
      <w:r w:rsidR="00BB79F1" w:rsidRPr="00D13B67">
        <w:rPr>
          <w:rFonts w:ascii="Aptos" w:eastAsia="Aptos" w:hAnsi="Aptos" w:cs="Aptos"/>
        </w:rPr>
        <w:t xml:space="preserve"> not </w:t>
      </w:r>
      <w:r w:rsidR="00065CDD" w:rsidRPr="00D13B67">
        <w:rPr>
          <w:rFonts w:ascii="Aptos" w:eastAsia="Aptos" w:hAnsi="Aptos" w:cs="Aptos"/>
        </w:rPr>
        <w:t xml:space="preserve">be </w:t>
      </w:r>
      <w:r w:rsidR="00BB79F1" w:rsidRPr="00D13B67">
        <w:rPr>
          <w:rFonts w:ascii="Aptos" w:eastAsia="Aptos" w:hAnsi="Aptos" w:cs="Aptos"/>
        </w:rPr>
        <w:t xml:space="preserve">reasonable or would place undue hardship on their </w:t>
      </w:r>
      <w:r w:rsidR="00002CB0" w:rsidRPr="00D13B67">
        <w:rPr>
          <w:rFonts w:ascii="Aptos" w:eastAsia="Aptos" w:hAnsi="Aptos" w:cs="Aptos"/>
        </w:rPr>
        <w:t>capacity; simply, if it’s too much work to accommodate someone, they don’t.</w:t>
      </w:r>
      <w:r w:rsidR="00B700FE" w:rsidRPr="00D13B67">
        <w:rPr>
          <w:rFonts w:ascii="Aptos" w:eastAsia="Aptos" w:hAnsi="Aptos" w:cs="Aptos"/>
        </w:rPr>
        <w:t xml:space="preserve"> The </w:t>
      </w:r>
      <w:r w:rsidR="00C97A93" w:rsidRPr="00D13B67">
        <w:rPr>
          <w:rFonts w:ascii="Aptos" w:eastAsia="Aptos" w:hAnsi="Aptos" w:cs="Aptos"/>
        </w:rPr>
        <w:t xml:space="preserve">stagnant levels of measurable </w:t>
      </w:r>
      <w:r w:rsidR="000346E1" w:rsidRPr="00D13B67">
        <w:rPr>
          <w:rFonts w:ascii="Aptos" w:eastAsia="Aptos" w:hAnsi="Aptos" w:cs="Aptos"/>
        </w:rPr>
        <w:t xml:space="preserve">digital </w:t>
      </w:r>
      <w:r w:rsidR="00C97A93" w:rsidRPr="00D13B67">
        <w:rPr>
          <w:rFonts w:ascii="Aptos" w:eastAsia="Aptos" w:hAnsi="Aptos" w:cs="Aptos"/>
        </w:rPr>
        <w:t xml:space="preserve">accessibility </w:t>
      </w:r>
      <w:r w:rsidR="009B4C72" w:rsidRPr="00D13B67">
        <w:rPr>
          <w:rFonts w:ascii="Aptos" w:eastAsia="Aptos" w:hAnsi="Aptos" w:cs="Aptos"/>
        </w:rPr>
        <w:t xml:space="preserve">(as discussed below) show the blunted </w:t>
      </w:r>
      <w:r w:rsidR="000346E1" w:rsidRPr="00D13B67">
        <w:rPr>
          <w:rFonts w:ascii="Aptos" w:eastAsia="Aptos" w:hAnsi="Aptos" w:cs="Aptos"/>
        </w:rPr>
        <w:t>effect of the ADA’s impact on improving the lives of disabled people through more accessible digital content.</w:t>
      </w:r>
    </w:p>
    <w:p w14:paraId="0DF49FDA" w14:textId="2C69A7A1" w:rsidR="00570A50" w:rsidRPr="00D13B67" w:rsidRDefault="00570A50" w:rsidP="00570A50">
      <w:pPr>
        <w:pStyle w:val="Heading5"/>
      </w:pPr>
      <w:r w:rsidRPr="00D13B67">
        <w:lastRenderedPageBreak/>
        <w:t>Accessibility for Ontarians with Disabilities Act</w:t>
      </w:r>
    </w:p>
    <w:p w14:paraId="1FDD7783" w14:textId="23B0B485" w:rsidR="006F0B39" w:rsidRPr="00D13B67" w:rsidRDefault="002D4CE6" w:rsidP="006F0B39">
      <w:pPr>
        <w:pStyle w:val="Body"/>
      </w:pPr>
      <w:r w:rsidRPr="00D13B67">
        <w:t xml:space="preserve"> </w:t>
      </w:r>
      <w:r w:rsidR="00065CDD" w:rsidRPr="00D13B67">
        <w:t>In Ontario</w:t>
      </w:r>
      <w:r w:rsidRPr="00D13B67">
        <w:t xml:space="preserve"> the AODA requires institutions make reasonable efforts to ensure accessibility, however</w:t>
      </w:r>
      <w:r w:rsidR="00975E4E" w:rsidRPr="00D13B67">
        <w:t xml:space="preserve"> the feasibility of such</w:t>
      </w:r>
      <w:r w:rsidRPr="00D13B67">
        <w:t xml:space="preserve"> efforts </w:t>
      </w:r>
      <w:proofErr w:type="gramStart"/>
      <w:r w:rsidRPr="00D13B67">
        <w:t>are</w:t>
      </w:r>
      <w:proofErr w:type="gramEnd"/>
      <w:r w:rsidRPr="00D13B67">
        <w:t xml:space="preserve"> defined </w:t>
      </w:r>
      <w:r w:rsidR="0047370D" w:rsidRPr="00D13B67">
        <w:t xml:space="preserve">by the institution </w:t>
      </w:r>
      <w:r w:rsidR="00286ABC" w:rsidRPr="00D13B67">
        <w:t xml:space="preserve">based on the </w:t>
      </w:r>
      <w:r w:rsidRPr="00D13B67">
        <w:t xml:space="preserve">defense of undue hardship (Titchkosky, 2011). </w:t>
      </w:r>
      <w:r w:rsidR="00975E4E" w:rsidRPr="00D13B67">
        <w:t>As a result, asking for</w:t>
      </w:r>
      <w:r w:rsidR="00DC0118" w:rsidRPr="00D13B67">
        <w:t xml:space="preserve"> access</w:t>
      </w:r>
      <w:r w:rsidR="00E25754" w:rsidRPr="00D13B67">
        <w:t xml:space="preserve"> requires </w:t>
      </w:r>
      <w:r w:rsidR="00DC0118" w:rsidRPr="00D13B67">
        <w:t>legal challenges of those definitions.</w:t>
      </w:r>
      <w:r w:rsidRPr="00D13B67">
        <w:t xml:space="preserve"> In Ontario, up to 58% of educational accessibility-related court cases were dismissed a</w:t>
      </w:r>
      <w:r w:rsidR="00286ABC" w:rsidRPr="00D13B67">
        <w:t>t</w:t>
      </w:r>
      <w:r w:rsidRPr="00D13B67">
        <w:t xml:space="preserve"> the preliminary stage based on timeliness, jurisdiction, or other procedural causes (Jacobs, 2023).</w:t>
      </w:r>
      <w:r w:rsidR="00286ABC" w:rsidRPr="00D13B67">
        <w:t xml:space="preserve"> Legislative efforts that require marginalized groups </w:t>
      </w:r>
      <w:r w:rsidR="006F0B39" w:rsidRPr="00D13B67">
        <w:t xml:space="preserve">to litigate access leave much to be desired. The Accessibility for Ontarians with Disabilities Act Alliance criticized the AODA in 2018, noting that the lack of punishment for infractions emboldens violators and the reliance on self-reporting undermines the entire process: </w:t>
      </w:r>
      <w:r w:rsidR="006F0B39" w:rsidRPr="00D13B67">
        <w:rPr>
          <w:rFonts w:ascii="Aptos" w:eastAsia="Aptos" w:hAnsi="Aptos" w:cs="Aptos"/>
        </w:rPr>
        <w:t>“imagine how effective any law enforcement would be if Government simply takes on faith when an organization says it has paid all its taxes, or has never discharged any pollutants into the environment, or has properly paid all its employees” (Accessibility for Ontarians with Disabilities Act Alliance, 2018). In 2020, the Government of Ontario undertook a review of the information and communications standards of the AODA. The report found the current approach “flawed”</w:t>
      </w:r>
      <w:r w:rsidR="00692680" w:rsidRPr="00D13B67">
        <w:rPr>
          <w:rFonts w:ascii="Aptos" w:eastAsia="Aptos" w:hAnsi="Aptos" w:cs="Aptos"/>
        </w:rPr>
        <w:t>,</w:t>
      </w:r>
      <w:r w:rsidR="006F0B39" w:rsidRPr="00D13B67">
        <w:rPr>
          <w:rFonts w:ascii="Aptos" w:eastAsia="Aptos" w:hAnsi="Aptos" w:cs="Aptos"/>
        </w:rPr>
        <w:t xml:space="preserve"> “not responsive to changes in technology”</w:t>
      </w:r>
      <w:r w:rsidR="00692680" w:rsidRPr="00D13B67">
        <w:rPr>
          <w:rFonts w:ascii="Aptos" w:eastAsia="Aptos" w:hAnsi="Aptos" w:cs="Aptos"/>
        </w:rPr>
        <w:t>,</w:t>
      </w:r>
      <w:r w:rsidR="006F0B39" w:rsidRPr="00D13B67">
        <w:rPr>
          <w:rFonts w:ascii="Aptos" w:eastAsia="Aptos" w:hAnsi="Aptos" w:cs="Aptos"/>
        </w:rPr>
        <w:t xml:space="preserve"> </w:t>
      </w:r>
      <w:r w:rsidR="006C219E" w:rsidRPr="00D13B67">
        <w:rPr>
          <w:rFonts w:ascii="Aptos" w:eastAsia="Aptos" w:hAnsi="Aptos" w:cs="Aptos"/>
        </w:rPr>
        <w:t xml:space="preserve">and </w:t>
      </w:r>
      <w:r w:rsidR="006F0B39" w:rsidRPr="00D13B67">
        <w:rPr>
          <w:rFonts w:ascii="Aptos" w:eastAsia="Aptos" w:hAnsi="Aptos" w:cs="Aptos"/>
        </w:rPr>
        <w:t>lack</w:t>
      </w:r>
      <w:r w:rsidR="006C219E" w:rsidRPr="00D13B67">
        <w:rPr>
          <w:rFonts w:ascii="Aptos" w:eastAsia="Aptos" w:hAnsi="Aptos" w:cs="Aptos"/>
        </w:rPr>
        <w:t>ed</w:t>
      </w:r>
      <w:r w:rsidR="006F0B39" w:rsidRPr="00D13B67">
        <w:rPr>
          <w:rFonts w:ascii="Aptos" w:eastAsia="Aptos" w:hAnsi="Aptos" w:cs="Aptos"/>
        </w:rPr>
        <w:t xml:space="preserve"> consultation with those who build and use technology daily (Government of Ontario, 2020).</w:t>
      </w:r>
    </w:p>
    <w:p w14:paraId="7A124B46" w14:textId="5F21870D" w:rsidR="09D97A02" w:rsidRPr="00D13B67" w:rsidRDefault="002D4CE6" w:rsidP="008A1A7D">
      <w:pPr>
        <w:pStyle w:val="Body"/>
        <w:rPr>
          <w:rFonts w:ascii="Aptos" w:eastAsia="Aptos" w:hAnsi="Aptos" w:cs="Aptos"/>
        </w:rPr>
      </w:pPr>
      <w:r w:rsidRPr="00D13B67">
        <w:t>The AODA was found to have limited impact o</w:t>
      </w:r>
      <w:r w:rsidR="00EB522F" w:rsidRPr="00D13B67">
        <w:t>n</w:t>
      </w:r>
      <w:r w:rsidRPr="00D13B67">
        <w:t xml:space="preserve"> post-secondary education (Flaherty </w:t>
      </w:r>
      <w:r w:rsidR="00C314D9" w:rsidRPr="00D13B67">
        <w:t>&amp;</w:t>
      </w:r>
      <w:r w:rsidRPr="00D13B67">
        <w:t xml:space="preserve"> Roussy, 2014) and that the reliance on accommodations indicated a lack of progress toward proactive accessibility (Marquis et al., 2016). The AODA was found to be so toothless that the Ontario Human Rights Commission conceded that despite </w:t>
      </w:r>
      <w:r w:rsidRPr="00D13B67">
        <w:lastRenderedPageBreak/>
        <w:t>improvements, disabled students still face difficulties accessing education (2018).</w:t>
      </w:r>
      <w:r w:rsidRPr="00D13B67">
        <w:rPr>
          <w:rFonts w:ascii="Aptos" w:eastAsia="Aptos" w:hAnsi="Aptos" w:cs="Aptos"/>
        </w:rPr>
        <w:t xml:space="preserve"> </w:t>
      </w:r>
      <w:r w:rsidR="09D97A02" w:rsidRPr="00D13B67">
        <w:t>To address shortcomings of the AODA’s impact on education, the Government of Ontario commissioned the development of post-secondary education accessibility standards. The aim of the standard</w:t>
      </w:r>
      <w:r w:rsidR="00692680" w:rsidRPr="00D13B67">
        <w:t>s</w:t>
      </w:r>
      <w:r w:rsidR="09D97A02" w:rsidRPr="00D13B67">
        <w:t xml:space="preserve"> was to ensure that</w:t>
      </w:r>
      <w:r w:rsidR="6F5D23BE" w:rsidRPr="00D13B67">
        <w:t xml:space="preserve"> </w:t>
      </w:r>
      <w:r w:rsidR="478CDC8C" w:rsidRPr="00D13B67">
        <w:rPr>
          <w:rFonts w:ascii="Aptos" w:eastAsia="Aptos" w:hAnsi="Aptos" w:cs="Aptos"/>
        </w:rPr>
        <w:t>“students with disabilities must be able to access and use technology, produce and consume content, and engage in learning independently and effectively” (Government of Ontario, 2022)</w:t>
      </w:r>
      <w:r w:rsidR="40105843" w:rsidRPr="00D13B67">
        <w:rPr>
          <w:rFonts w:ascii="Aptos" w:eastAsia="Aptos" w:hAnsi="Aptos" w:cs="Aptos"/>
        </w:rPr>
        <w:t xml:space="preserve">. </w:t>
      </w:r>
      <w:r w:rsidRPr="00D13B67">
        <w:rPr>
          <w:rFonts w:ascii="Aptos" w:eastAsia="Aptos" w:hAnsi="Aptos" w:cs="Aptos"/>
        </w:rPr>
        <w:t xml:space="preserve">The proposal noted </w:t>
      </w:r>
      <w:r w:rsidR="00F54D6C" w:rsidRPr="00D13B67">
        <w:rPr>
          <w:rFonts w:ascii="Aptos" w:eastAsia="Aptos" w:hAnsi="Aptos" w:cs="Aptos"/>
        </w:rPr>
        <w:t>several</w:t>
      </w:r>
      <w:r w:rsidR="40105843" w:rsidRPr="00D13B67">
        <w:rPr>
          <w:rFonts w:ascii="Aptos" w:eastAsia="Aptos" w:hAnsi="Aptos" w:cs="Aptos"/>
        </w:rPr>
        <w:t xml:space="preserve"> barrier areas and concluded that </w:t>
      </w:r>
      <w:r w:rsidR="61C1FCCB" w:rsidRPr="00D13B67">
        <w:rPr>
          <w:rFonts w:ascii="Aptos" w:eastAsia="Aptos" w:hAnsi="Aptos" w:cs="Aptos"/>
        </w:rPr>
        <w:t>“technology used in digital learning must be accessible to, and usable by, students with disabilities and be compatible for use with common assistive technologies” and where digital accessibility barriers continue to exist, an alternative must be offered. These alternatives are to be documented in a student’s accommodation plan and</w:t>
      </w:r>
      <w:r w:rsidR="22769551" w:rsidRPr="00D13B67">
        <w:rPr>
          <w:rFonts w:ascii="Aptos" w:eastAsia="Aptos" w:hAnsi="Aptos" w:cs="Aptos"/>
        </w:rPr>
        <w:t xml:space="preserve"> reviewed each semester to determine more suitable </w:t>
      </w:r>
      <w:r w:rsidR="00692680" w:rsidRPr="00D13B67">
        <w:rPr>
          <w:rFonts w:ascii="Aptos" w:eastAsia="Aptos" w:hAnsi="Aptos" w:cs="Aptos"/>
        </w:rPr>
        <w:t xml:space="preserve">and </w:t>
      </w:r>
      <w:r w:rsidRPr="00D13B67">
        <w:rPr>
          <w:rFonts w:ascii="Aptos" w:eastAsia="Aptos" w:hAnsi="Aptos" w:cs="Aptos"/>
        </w:rPr>
        <w:t>permanent</w:t>
      </w:r>
      <w:r w:rsidR="22769551" w:rsidRPr="00D13B67">
        <w:rPr>
          <w:rFonts w:ascii="Aptos" w:eastAsia="Aptos" w:hAnsi="Aptos" w:cs="Aptos"/>
        </w:rPr>
        <w:t xml:space="preserve"> solutions</w:t>
      </w:r>
      <w:r w:rsidR="00206359" w:rsidRPr="00D13B67">
        <w:rPr>
          <w:rFonts w:ascii="Aptos" w:eastAsia="Aptos" w:hAnsi="Aptos" w:cs="Aptos"/>
        </w:rPr>
        <w:t>.</w:t>
      </w:r>
      <w:r w:rsidR="22769551" w:rsidRPr="00D13B67">
        <w:rPr>
          <w:rFonts w:ascii="Aptos" w:eastAsia="Aptos" w:hAnsi="Aptos" w:cs="Aptos"/>
        </w:rPr>
        <w:t xml:space="preserve"> The proposal also called for educators to list in their course syllabi all the digital technology and electronic media </w:t>
      </w:r>
      <w:r w:rsidR="447496C8" w:rsidRPr="00D13B67">
        <w:rPr>
          <w:rFonts w:ascii="Aptos" w:eastAsia="Aptos" w:hAnsi="Aptos" w:cs="Aptos"/>
        </w:rPr>
        <w:t>to be used in the course to best prepare students and identify any accessibility issues at the beginning of the course</w:t>
      </w:r>
      <w:r w:rsidR="00206359" w:rsidRPr="00D13B67">
        <w:rPr>
          <w:rFonts w:ascii="Aptos" w:eastAsia="Aptos" w:hAnsi="Aptos" w:cs="Aptos"/>
        </w:rPr>
        <w:t>.</w:t>
      </w:r>
    </w:p>
    <w:p w14:paraId="3BA47A0E" w14:textId="062484D5" w:rsidR="3F9BDEA5" w:rsidRPr="00D13B67" w:rsidRDefault="3F9BDEA5" w:rsidP="00AC66DA">
      <w:pPr>
        <w:pStyle w:val="Body"/>
        <w:rPr>
          <w:rFonts w:eastAsia="Aptos"/>
        </w:rPr>
      </w:pPr>
      <w:r w:rsidRPr="00D13B67">
        <w:rPr>
          <w:rFonts w:eastAsia="Aptos"/>
        </w:rPr>
        <w:t>In 2023</w:t>
      </w:r>
      <w:r w:rsidR="770D7F88" w:rsidRPr="00D13B67">
        <w:rPr>
          <w:rFonts w:eastAsia="Aptos"/>
        </w:rPr>
        <w:t>,</w:t>
      </w:r>
      <w:r w:rsidRPr="00D13B67">
        <w:rPr>
          <w:rFonts w:eastAsia="Aptos"/>
        </w:rPr>
        <w:t xml:space="preserve"> the 4</w:t>
      </w:r>
      <w:r w:rsidRPr="00D13B67">
        <w:rPr>
          <w:rFonts w:eastAsia="Aptos"/>
          <w:vertAlign w:val="superscript"/>
        </w:rPr>
        <w:t>th</w:t>
      </w:r>
      <w:r w:rsidRPr="00D13B67">
        <w:rPr>
          <w:rFonts w:eastAsia="Aptos"/>
        </w:rPr>
        <w:t xml:space="preserve"> independent review of the AODA was delivered. </w:t>
      </w:r>
      <w:r w:rsidR="6724EF7D" w:rsidRPr="00D13B67">
        <w:rPr>
          <w:rFonts w:eastAsia="Aptos"/>
        </w:rPr>
        <w:t xml:space="preserve">The review cited a survey that found 75% of disabled Ontario residents reported negative experiences. The review </w:t>
      </w:r>
      <w:r w:rsidR="67A5A2F2" w:rsidRPr="00D13B67">
        <w:rPr>
          <w:rFonts w:eastAsia="Aptos"/>
        </w:rPr>
        <w:t>concludes that there has</w:t>
      </w:r>
      <w:r w:rsidR="002D4CE6" w:rsidRPr="00D13B67">
        <w:rPr>
          <w:rFonts w:eastAsia="Aptos"/>
        </w:rPr>
        <w:t xml:space="preserve"> </w:t>
      </w:r>
      <w:r w:rsidR="002E2D30" w:rsidRPr="00D13B67">
        <w:rPr>
          <w:rFonts w:eastAsia="Aptos"/>
        </w:rPr>
        <w:t>been</w:t>
      </w:r>
      <w:r w:rsidR="67A5A2F2" w:rsidRPr="00D13B67">
        <w:rPr>
          <w:rFonts w:eastAsia="Aptos"/>
        </w:rPr>
        <w:t xml:space="preserve"> minimal change in accessibility, enforcement is non-</w:t>
      </w:r>
      <w:r w:rsidR="4287B52F" w:rsidRPr="00D13B67">
        <w:rPr>
          <w:rFonts w:eastAsia="Aptos"/>
        </w:rPr>
        <w:t xml:space="preserve">existent </w:t>
      </w:r>
      <w:r w:rsidR="67A5A2F2" w:rsidRPr="00D13B67">
        <w:rPr>
          <w:rFonts w:eastAsia="Aptos"/>
        </w:rPr>
        <w:t xml:space="preserve">with 25 compliance staff overseeing 412,000 organizations, and </w:t>
      </w:r>
      <w:r w:rsidR="0099095B" w:rsidRPr="00D13B67">
        <w:rPr>
          <w:rFonts w:eastAsia="Aptos"/>
        </w:rPr>
        <w:t xml:space="preserve">that </w:t>
      </w:r>
      <w:r w:rsidR="7FDE7174" w:rsidRPr="00D13B67">
        <w:rPr>
          <w:rFonts w:eastAsia="Aptos"/>
        </w:rPr>
        <w:t xml:space="preserve">the AODA is failing disabled Ontarians (Donovan, 2023). The review declares the state of accessibility in Ontario to be in crisis, requiring </w:t>
      </w:r>
      <w:r w:rsidR="19716DB6" w:rsidRPr="00D13B67">
        <w:rPr>
          <w:rFonts w:eastAsia="Aptos"/>
        </w:rPr>
        <w:t>“bold and decisive action” (p. 48). However, the review cautions that disabled people do not want more policy and standards, but actual “positive experiences similar to that of the rest of the population</w:t>
      </w:r>
      <w:r w:rsidR="0F802663" w:rsidRPr="00D13B67">
        <w:rPr>
          <w:rFonts w:eastAsia="Aptos"/>
        </w:rPr>
        <w:t>” (p. 8).</w:t>
      </w:r>
      <w:r w:rsidR="008A1A7D" w:rsidRPr="00D13B67">
        <w:rPr>
          <w:rFonts w:eastAsia="Aptos"/>
        </w:rPr>
        <w:t xml:space="preserve"> The AODA has faced </w:t>
      </w:r>
      <w:r w:rsidR="008A1A7D" w:rsidRPr="00D13B67">
        <w:rPr>
          <w:rFonts w:eastAsia="Aptos"/>
        </w:rPr>
        <w:lastRenderedPageBreak/>
        <w:t>significant criticism</w:t>
      </w:r>
      <w:r w:rsidR="00734FE1" w:rsidRPr="00D13B67">
        <w:rPr>
          <w:rFonts w:eastAsia="Aptos"/>
        </w:rPr>
        <w:t xml:space="preserve"> and rightly so. Like other accessibility initiatives, two decades of the AODA has not increased the accessibility of digital content</w:t>
      </w:r>
      <w:r w:rsidR="0099095B" w:rsidRPr="00D13B67">
        <w:rPr>
          <w:rFonts w:eastAsia="Aptos"/>
        </w:rPr>
        <w:t xml:space="preserve"> or improved the experience of disabled students.</w:t>
      </w:r>
    </w:p>
    <w:p w14:paraId="2D1121BB" w14:textId="6C508DB9" w:rsidR="00570A50" w:rsidRPr="00D13B67" w:rsidRDefault="00570A50" w:rsidP="00570A50">
      <w:pPr>
        <w:pStyle w:val="Heading5"/>
      </w:pPr>
      <w:r w:rsidRPr="00D13B67">
        <w:t>Web Accessibility</w:t>
      </w:r>
    </w:p>
    <w:p w14:paraId="4805537E" w14:textId="74E04770" w:rsidR="00C86721" w:rsidRPr="00D13B67" w:rsidRDefault="0010358A" w:rsidP="00C86721">
      <w:pPr>
        <w:pStyle w:val="Body"/>
      </w:pPr>
      <w:r w:rsidRPr="00D13B67">
        <w:t xml:space="preserve">Since </w:t>
      </w:r>
      <w:r w:rsidR="00CC756A" w:rsidRPr="00D13B67">
        <w:t xml:space="preserve">the first draft of WCAG </w:t>
      </w:r>
      <w:r w:rsidRPr="00D13B67">
        <w:t>in</w:t>
      </w:r>
      <w:r w:rsidR="00CC756A" w:rsidRPr="00D13B67">
        <w:t xml:space="preserve"> 1998, </w:t>
      </w:r>
      <w:r w:rsidRPr="00D13B67">
        <w:t>web accessibility has been documented and studied</w:t>
      </w:r>
      <w:r w:rsidR="00CC756A" w:rsidRPr="00D13B67">
        <w:t xml:space="preserve">. In 2000, of the 50 most </w:t>
      </w:r>
      <w:r w:rsidR="00E20125" w:rsidRPr="00D13B67">
        <w:t>visited</w:t>
      </w:r>
      <w:r w:rsidR="00CC756A" w:rsidRPr="00D13B67">
        <w:t xml:space="preserve"> web site home pages, 81% were inaccessible (</w:t>
      </w:r>
      <w:r w:rsidR="00CC756A" w:rsidRPr="00D13B67">
        <w:rPr>
          <w:rFonts w:eastAsia="Aptos"/>
        </w:rPr>
        <w:t>Sullivan &amp; Matson, 2000). A 2003 study of business and not for profit websites found that 98% were inaccessible (Lazar et al., 2003). In</w:t>
      </w:r>
      <w:r w:rsidR="00CC756A" w:rsidRPr="00D13B67">
        <w:t xml:space="preserve"> 2004, 91% of ecommerce home pages had accessibility issues (Loiacono &amp; McCoy, 2004). </w:t>
      </w:r>
      <w:r w:rsidR="00CC756A" w:rsidRPr="00D13B67">
        <w:rPr>
          <w:rFonts w:eastAsia="Aptos"/>
        </w:rPr>
        <w:t xml:space="preserve">Kelly et al. found in 2005 that </w:t>
      </w:r>
      <w:r w:rsidR="00E20125" w:rsidRPr="00D13B67">
        <w:rPr>
          <w:rFonts w:eastAsia="Aptos"/>
        </w:rPr>
        <w:t>through multiple surveys levels of web accessibility “</w:t>
      </w:r>
      <w:r w:rsidR="00CC756A" w:rsidRPr="00D13B67">
        <w:rPr>
          <w:rFonts w:eastAsia="Aptos"/>
        </w:rPr>
        <w:t xml:space="preserve">remain disappointing” (p. 46). </w:t>
      </w:r>
      <w:r w:rsidR="00CC756A" w:rsidRPr="00D13B67">
        <w:t xml:space="preserve">A 2009 study of Fortune 100 business’ websites found that 83% were inaccessible </w:t>
      </w:r>
      <w:r w:rsidR="00CC756A" w:rsidRPr="00D13B67">
        <w:rPr>
          <w:rFonts w:eastAsia="Aptos"/>
        </w:rPr>
        <w:t>(Loiacono et al., 2009). A review of studies between 2004 and 2022 found that between 32% to 98% of websites had notable accessibility issues (Rowland, 2023).</w:t>
      </w:r>
      <w:r w:rsidR="00A76C2F" w:rsidRPr="00D13B67">
        <w:t xml:space="preserve"> </w:t>
      </w:r>
      <w:r w:rsidR="0063049C" w:rsidRPr="00D13B67">
        <w:t xml:space="preserve">This wide variance is due to the spectrum of types of web content analyzed and </w:t>
      </w:r>
      <w:r w:rsidR="00176376" w:rsidRPr="00D13B67">
        <w:t xml:space="preserve">varying testing procedures. Based on other data, 32% </w:t>
      </w:r>
      <w:r w:rsidR="005E115D" w:rsidRPr="00D13B67">
        <w:t>may</w:t>
      </w:r>
      <w:r w:rsidR="00176376" w:rsidRPr="00D13B67">
        <w:t xml:space="preserve"> be an outlier.</w:t>
      </w:r>
    </w:p>
    <w:p w14:paraId="145B6BDF" w14:textId="11954CA1" w:rsidR="005B2BAD" w:rsidRPr="00D13B67" w:rsidRDefault="002D4CE6" w:rsidP="005B2BAD">
      <w:pPr>
        <w:pStyle w:val="Body"/>
      </w:pPr>
      <w:proofErr w:type="spellStart"/>
      <w:r w:rsidRPr="00D13B67">
        <w:t>WebAIM</w:t>
      </w:r>
      <w:proofErr w:type="spellEnd"/>
      <w:r w:rsidR="006C3DCF" w:rsidRPr="00D13B67">
        <w:t>, a web accessibility non-profit,</w:t>
      </w:r>
      <w:r w:rsidRPr="00D13B67">
        <w:t xml:space="preserve"> conducts an annual accessibility audit of the million most visited webpages</w:t>
      </w:r>
      <w:r w:rsidR="008B42C7" w:rsidRPr="00D13B67">
        <w:t xml:space="preserve"> on the internet</w:t>
      </w:r>
      <w:r w:rsidRPr="00D13B67">
        <w:t>. Using automated tools, the 2019 study found 59.6 errors per page and a detectable error on 1 in every 13 elements with 97.8% of home pages having a WCAG failure (</w:t>
      </w:r>
      <w:proofErr w:type="spellStart"/>
      <w:r w:rsidRPr="00D13B67">
        <w:t>WebAIM</w:t>
      </w:r>
      <w:proofErr w:type="spellEnd"/>
      <w:r w:rsidRPr="00D13B67">
        <w:t>, 2019). The 202</w:t>
      </w:r>
      <w:r w:rsidR="003E47A2" w:rsidRPr="00D13B67">
        <w:t>6</w:t>
      </w:r>
      <w:r w:rsidRPr="00D13B67">
        <w:t xml:space="preserve"> study found 5</w:t>
      </w:r>
      <w:r w:rsidR="00AF2308" w:rsidRPr="00D13B67">
        <w:t>6.4</w:t>
      </w:r>
      <w:r w:rsidRPr="00D13B67">
        <w:t xml:space="preserve"> errors per page and a detectable error on 1 in every 2</w:t>
      </w:r>
      <w:r w:rsidR="00A17242" w:rsidRPr="00D13B67">
        <w:t>6</w:t>
      </w:r>
      <w:r w:rsidRPr="00D13B67">
        <w:t xml:space="preserve"> elements with 9</w:t>
      </w:r>
      <w:r w:rsidR="00A17242" w:rsidRPr="00D13B67">
        <w:t>5.9</w:t>
      </w:r>
      <w:r w:rsidRPr="00D13B67">
        <w:t>% of home pages having at least one WCAG failure (</w:t>
      </w:r>
      <w:proofErr w:type="spellStart"/>
      <w:r w:rsidRPr="00D13B67">
        <w:t>WebAIM</w:t>
      </w:r>
      <w:proofErr w:type="spellEnd"/>
      <w:r w:rsidRPr="00D13B67">
        <w:t>, 202</w:t>
      </w:r>
      <w:r w:rsidR="00A17242" w:rsidRPr="00D13B67">
        <w:t>6</w:t>
      </w:r>
      <w:r w:rsidRPr="00D13B67">
        <w:t xml:space="preserve">). </w:t>
      </w:r>
      <w:r w:rsidR="005B2BAD" w:rsidRPr="00D13B67">
        <w:t xml:space="preserve">This slight improvement is overshadowed by the staggering number of accessibility issues. </w:t>
      </w:r>
      <w:r w:rsidRPr="00D13B67">
        <w:t xml:space="preserve">A 2024 report found that automated testing of </w:t>
      </w:r>
      <w:r w:rsidRPr="00D13B67">
        <w:lastRenderedPageBreak/>
        <w:t xml:space="preserve">16 million websites documented a slight increase in overall accessibility score from 83% in 2019 to 84% in 2024 (Gifford, 2024). The author notes that “many straightforward issues remain unsolved” that could be </w:t>
      </w:r>
      <w:r w:rsidR="005B2BAD" w:rsidRPr="00D13B67">
        <w:t>fixed</w:t>
      </w:r>
      <w:r w:rsidRPr="00D13B67">
        <w:t xml:space="preserve"> if accessibility were not treated as an afterthought (Gifford, 2024). </w:t>
      </w:r>
      <w:r w:rsidR="00AE7F91" w:rsidRPr="00D13B67">
        <w:t xml:space="preserve">The Web Almanac notes that </w:t>
      </w:r>
      <w:r w:rsidR="00A87B98" w:rsidRPr="00D13B67">
        <w:t xml:space="preserve">in a study of 17 million websites, </w:t>
      </w:r>
      <w:r w:rsidR="009B0DF7" w:rsidRPr="00D13B67">
        <w:t xml:space="preserve">the average accessibility score in 2019 was </w:t>
      </w:r>
      <w:r w:rsidR="00A87B98" w:rsidRPr="00D13B67">
        <w:t>73%</w:t>
      </w:r>
      <w:r w:rsidR="009B0DF7" w:rsidRPr="00D13B67">
        <w:t xml:space="preserve">, rising to 82% by 2021, and slowly climbing to 85% by 2025 (Lazar </w:t>
      </w:r>
      <w:r w:rsidR="00B06A81" w:rsidRPr="00D13B67">
        <w:t>&amp;</w:t>
      </w:r>
      <w:r w:rsidR="009B0DF7" w:rsidRPr="00D13B67">
        <w:t xml:space="preserve"> Gifford, 2026).</w:t>
      </w:r>
      <w:r w:rsidR="00A87B98" w:rsidRPr="00D13B67">
        <w:t xml:space="preserve"> </w:t>
      </w:r>
      <w:r w:rsidRPr="00D13B67">
        <w:t>The relatively minor decrease in detectable accessibility errors</w:t>
      </w:r>
      <w:r w:rsidR="005E115D" w:rsidRPr="00D13B67">
        <w:t xml:space="preserve"> noted by </w:t>
      </w:r>
      <w:proofErr w:type="spellStart"/>
      <w:r w:rsidR="005E115D" w:rsidRPr="00D13B67">
        <w:t>WebAIM</w:t>
      </w:r>
      <w:proofErr w:type="spellEnd"/>
      <w:r w:rsidR="005E115D" w:rsidRPr="00D13B67">
        <w:t xml:space="preserve"> and The Web </w:t>
      </w:r>
      <w:r w:rsidR="00D13B67" w:rsidRPr="00D13B67">
        <w:t>Almanac</w:t>
      </w:r>
      <w:r w:rsidRPr="00D13B67">
        <w:t xml:space="preserve"> may represent a modern plateau. </w:t>
      </w:r>
    </w:p>
    <w:p w14:paraId="0EEE68BF" w14:textId="6C89666D" w:rsidR="0074142E" w:rsidRPr="00D13B67" w:rsidRDefault="00F87921" w:rsidP="008C4662">
      <w:pPr>
        <w:pStyle w:val="Body"/>
      </w:pPr>
      <w:r w:rsidRPr="00D13B67">
        <w:t>In keeping with general trends, h</w:t>
      </w:r>
      <w:r w:rsidR="002D4CE6" w:rsidRPr="00D13B67">
        <w:t xml:space="preserve">igher education websites remain inaccessible. A 2007 study found that of 99 instructional webpages at the University of Texas at Austin only 12 were fully compliant with Section 508 </w:t>
      </w:r>
      <w:r w:rsidR="00337712" w:rsidRPr="00D13B67">
        <w:t xml:space="preserve">digital accessibility </w:t>
      </w:r>
      <w:r w:rsidR="002D4CE6" w:rsidRPr="00D13B67">
        <w:t xml:space="preserve">guidelines (Lewis et al., 2007). </w:t>
      </w:r>
      <w:r w:rsidR="00337712" w:rsidRPr="00D13B67">
        <w:t>Further</w:t>
      </w:r>
      <w:r w:rsidR="002D4CE6" w:rsidRPr="00D13B67">
        <w:t xml:space="preserve">, a 2011 study of pages across 180 universities found roughly half of the 23,319 pages analyzed failed the researcher’s accessibility heuristic (Huss </w:t>
      </w:r>
      <w:r w:rsidR="00C50904" w:rsidRPr="00D13B67">
        <w:t>&amp;</w:t>
      </w:r>
      <w:r w:rsidR="002D4CE6" w:rsidRPr="00D13B67">
        <w:t xml:space="preserve"> Eastep, 2016). The National Center on Disability and Access to Education found that only 3% of websites from a sample of 100 institutions were accessible (</w:t>
      </w:r>
      <w:r w:rsidR="008A6B59" w:rsidRPr="00D13B67">
        <w:t xml:space="preserve">Joly, 2011; </w:t>
      </w:r>
      <w:r w:rsidR="002D4CE6" w:rsidRPr="00D13B67">
        <w:t xml:space="preserve">Huss </w:t>
      </w:r>
      <w:r w:rsidR="008308E9" w:rsidRPr="00D13B67">
        <w:t>&amp;</w:t>
      </w:r>
      <w:r w:rsidR="002D4CE6" w:rsidRPr="00D13B67">
        <w:t xml:space="preserve"> Eastep, 2016). A review of the 60 top-ranked universities in the world found significant accessibility issues on home pages, admission pages, and course description pages (</w:t>
      </w:r>
      <w:proofErr w:type="spellStart"/>
      <w:r w:rsidR="002D4CE6" w:rsidRPr="00D13B67">
        <w:t>Fichten</w:t>
      </w:r>
      <w:proofErr w:type="spellEnd"/>
      <w:r w:rsidR="002D4CE6" w:rsidRPr="00D13B67">
        <w:t xml:space="preserve"> et al., 2020). </w:t>
      </w:r>
      <w:r w:rsidR="003107B7" w:rsidRPr="00D13B67">
        <w:t>A Finnish study</w:t>
      </w:r>
      <w:r w:rsidR="002D4CE6" w:rsidRPr="00D13B67">
        <w:t xml:space="preserve"> found that legislation had little impact on improving the accessibility of university home pages</w:t>
      </w:r>
      <w:r w:rsidR="003107B7" w:rsidRPr="00D13B67">
        <w:t xml:space="preserve">. </w:t>
      </w:r>
      <w:r w:rsidR="002D4CE6" w:rsidRPr="00D13B67">
        <w:t>Of 38 Finnish universities, homepages with good accessibility were largely the same before and after accessibility legislation came into effect, while pages with poor accessibility remained so (</w:t>
      </w:r>
      <w:r w:rsidR="00A20D00" w:rsidRPr="00D13B67">
        <w:t>Laamanen</w:t>
      </w:r>
      <w:r w:rsidR="003107B7" w:rsidRPr="00D13B67">
        <w:t xml:space="preserve"> et al., </w:t>
      </w:r>
      <w:r w:rsidR="002D4CE6" w:rsidRPr="00D13B67">
        <w:t>2024).</w:t>
      </w:r>
      <w:r w:rsidR="002B00A2" w:rsidRPr="00D13B67">
        <w:t xml:space="preserve"> Similarly in Norway, 310 municipal websites continued to have the same number of accessibility issues two years after accessibility legislation came into effect (Inal &amp; </w:t>
      </w:r>
      <w:proofErr w:type="spellStart"/>
      <w:r w:rsidR="002B00A2" w:rsidRPr="00D13B67">
        <w:t>Torkildsby</w:t>
      </w:r>
      <w:proofErr w:type="spellEnd"/>
      <w:r w:rsidR="00F65E8A" w:rsidRPr="00D13B67">
        <w:t>,</w:t>
      </w:r>
      <w:r w:rsidR="002B00A2" w:rsidRPr="00D13B67">
        <w:t xml:space="preserve"> 2024). </w:t>
      </w:r>
      <w:r w:rsidR="001813DA" w:rsidRPr="00D13B67">
        <w:t xml:space="preserve">A 2021 study of </w:t>
      </w:r>
      <w:r w:rsidR="001813DA" w:rsidRPr="00D13B67">
        <w:lastRenderedPageBreak/>
        <w:t>European accessibility</w:t>
      </w:r>
      <w:r w:rsidR="007D0979" w:rsidRPr="00D13B67">
        <w:t xml:space="preserve"> noted a gap between legislation intention and implementation (</w:t>
      </w:r>
      <w:proofErr w:type="spellStart"/>
      <w:r w:rsidR="007D0979" w:rsidRPr="00D13B67">
        <w:t>Oncins</w:t>
      </w:r>
      <w:proofErr w:type="spellEnd"/>
      <w:r w:rsidR="007D0979" w:rsidRPr="00D13B67">
        <w:t xml:space="preserve"> &amp; Orero, 2021).</w:t>
      </w:r>
      <w:r w:rsidR="002B00A2" w:rsidRPr="00D13B67">
        <w:t xml:space="preserve"> </w:t>
      </w:r>
      <w:r w:rsidR="002D4CE6" w:rsidRPr="00D13B67">
        <w:t>The spectrum of findings shows that significant work is needed to ensure equitable access for all</w:t>
      </w:r>
      <w:r w:rsidR="00FE43F6" w:rsidRPr="00D13B67">
        <w:t xml:space="preserve"> web users, including</w:t>
      </w:r>
      <w:r w:rsidR="002D4CE6" w:rsidRPr="00D13B67">
        <w:t xml:space="preserve"> students.</w:t>
      </w:r>
      <w:r w:rsidR="008C4662" w:rsidRPr="00D13B67">
        <w:t xml:space="preserve"> While technology and the internet is constantly changing, existing data on the accessibility of web content shows that the overall accessibility of web content has not increased since the introduction of WCAG in 1998. </w:t>
      </w:r>
      <w:r w:rsidR="008C4662" w:rsidRPr="00D13B67">
        <w:rPr>
          <w:rFonts w:eastAsia="Aptos"/>
        </w:rPr>
        <w:t>While the increasing complexity of web content could contribute to the lack of progress in making digital content more accessible, the toothlessness of legislation and lack of interest from content producers cannot be ignored as key factors to this stagnation.</w:t>
      </w:r>
    </w:p>
    <w:p w14:paraId="41AAA495" w14:textId="6959E1EC" w:rsidR="00E65989" w:rsidRPr="00D13B67" w:rsidRDefault="00E65989" w:rsidP="00E65989">
      <w:pPr>
        <w:pStyle w:val="Heading5"/>
      </w:pPr>
      <w:r w:rsidRPr="00D13B67">
        <w:t>Digital Learning Material</w:t>
      </w:r>
    </w:p>
    <w:p w14:paraId="1B84CB3F" w14:textId="14D70967" w:rsidR="009D70A1" w:rsidRPr="00D13B67" w:rsidRDefault="002D4CE6" w:rsidP="009D70A1">
      <w:pPr>
        <w:pStyle w:val="Body"/>
      </w:pPr>
      <w:r w:rsidRPr="00D13B67">
        <w:t xml:space="preserve">Website accessibility is relatively straightforward to </w:t>
      </w:r>
      <w:r w:rsidR="00F96C7F" w:rsidRPr="00D13B67">
        <w:t>document</w:t>
      </w:r>
      <w:r w:rsidRPr="00D13B67">
        <w:t xml:space="preserve"> as </w:t>
      </w:r>
      <w:r w:rsidR="00051227" w:rsidRPr="00D13B67">
        <w:t>pages</w:t>
      </w:r>
      <w:r w:rsidRPr="00D13B67">
        <w:t xml:space="preserve"> are public and can be checked by automated tools. </w:t>
      </w:r>
      <w:r w:rsidR="0074142E" w:rsidRPr="00D13B67">
        <w:t xml:space="preserve">However, there are numerous other mediums in which the accessibility of </w:t>
      </w:r>
      <w:r w:rsidR="006A04C8" w:rsidRPr="00D13B67">
        <w:t>learning</w:t>
      </w:r>
      <w:r w:rsidR="0074142E" w:rsidRPr="00D13B67">
        <w:t xml:space="preserve"> material impacts learner access. </w:t>
      </w:r>
      <w:r w:rsidR="00702CF4">
        <w:t xml:space="preserve">A 2009 cited by </w:t>
      </w:r>
      <w:proofErr w:type="spellStart"/>
      <w:r w:rsidR="00702CF4">
        <w:t>Fichten</w:t>
      </w:r>
      <w:proofErr w:type="spellEnd"/>
      <w:r w:rsidR="00702CF4">
        <w:t xml:space="preserve"> et al. (2020) study found c</w:t>
      </w:r>
      <w:r w:rsidR="0074142E" w:rsidRPr="00D13B67">
        <w:t xml:space="preserve">ommon digital accessibility issues at Canadian colleges and universities </w:t>
      </w:r>
      <w:r w:rsidR="00702CF4">
        <w:t xml:space="preserve">included </w:t>
      </w:r>
      <w:r w:rsidR="0074142E" w:rsidRPr="00D13B67">
        <w:t>inaccessible websites and course management systems, incompatibility with required technology, poor implementation of course management systems by instructors, and lack of student knowledge of how to use course management systems</w:t>
      </w:r>
      <w:r w:rsidR="00702CF4">
        <w:t xml:space="preserve">. </w:t>
      </w:r>
      <w:r w:rsidR="0074142E" w:rsidRPr="00D13B67">
        <w:t>While online and digital learning presents an opportunity for increased access, the organization and formatting of digital learning material may present significant barriers to student access (</w:t>
      </w:r>
      <w:r w:rsidR="0074142E" w:rsidRPr="00D13B67">
        <w:rPr>
          <w:rStyle w:val="citation-item"/>
        </w:rPr>
        <w:t xml:space="preserve">Huss </w:t>
      </w:r>
      <w:r w:rsidR="00A20D00" w:rsidRPr="00D13B67">
        <w:rPr>
          <w:rStyle w:val="citation-item"/>
        </w:rPr>
        <w:t>&amp;</w:t>
      </w:r>
      <w:r w:rsidR="0074142E" w:rsidRPr="00D13B67">
        <w:rPr>
          <w:rStyle w:val="citation-item"/>
        </w:rPr>
        <w:t xml:space="preserve"> Eastep, 2016; </w:t>
      </w:r>
      <w:r w:rsidR="0074142E" w:rsidRPr="00D13B67">
        <w:t>Bartz, 2020). This paradox is unfortunate as students may not know the extent of their ability to access learning material until a course begins or even week to week as content is presented to them.</w:t>
      </w:r>
      <w:r w:rsidR="002C5E59" w:rsidRPr="00D13B67">
        <w:t xml:space="preserve"> Barriers to student access </w:t>
      </w:r>
      <w:r w:rsidR="002C5E59" w:rsidRPr="00D13B67">
        <w:lastRenderedPageBreak/>
        <w:t>remain common in post-secondary, despite legislative efforts. A review of instructional material policy at 60 American post-secondary institutions found few references to accessibility standards while only 3% of reviewed institutions offered institutional certification of course accessibility or accessibility badging (McGowan, 2018).</w:t>
      </w:r>
    </w:p>
    <w:p w14:paraId="51840881" w14:textId="77777777" w:rsidR="002151C6" w:rsidRPr="00D13B67" w:rsidRDefault="002D4CE6" w:rsidP="006B7EE6">
      <w:pPr>
        <w:pStyle w:val="Body"/>
      </w:pPr>
      <w:r w:rsidRPr="00D13B67">
        <w:t xml:space="preserve">Assessing the accessibility of digital learning material at scale can be difficult as most digital learning material is not publicly available. Instead, many institutions use learning management systems (LMS) to distribute digital learning materials. These LMSs often require user authentication and thus prevent researchers from scraping large amounts of material to </w:t>
      </w:r>
      <w:r w:rsidR="00E768B2" w:rsidRPr="00D13B67">
        <w:t>audit</w:t>
      </w:r>
      <w:r w:rsidRPr="00D13B67">
        <w:t xml:space="preserve">. </w:t>
      </w:r>
      <w:r w:rsidR="00AB6BE1" w:rsidRPr="00D13B67">
        <w:t xml:space="preserve">There exists research on the visual design and user-experience of learning management systems (Saleh et al., 2022; Stoesz </w:t>
      </w:r>
      <w:r w:rsidR="00781FAE" w:rsidRPr="00D13B67">
        <w:t>&amp;</w:t>
      </w:r>
      <w:r w:rsidR="00AB6BE1" w:rsidRPr="00D13B67">
        <w:t xml:space="preserve"> Niknam, 2022; Nakamura et al., 2025), however little research exists into the accessibility of content in learning management systems. </w:t>
      </w:r>
      <w:r w:rsidR="006B7EE6" w:rsidRPr="00D13B67">
        <w:t>Research suggests</w:t>
      </w:r>
      <w:r w:rsidR="00AB6BE1" w:rsidRPr="00D13B67">
        <w:t xml:space="preserve"> that learning management systems privilege certain learning styles and activity types by design which may make inaccessible and exclusive experiences for disabled students (</w:t>
      </w:r>
      <w:proofErr w:type="spellStart"/>
      <w:r w:rsidR="00AB6BE1" w:rsidRPr="00D13B67">
        <w:t>Demmans</w:t>
      </w:r>
      <w:proofErr w:type="spellEnd"/>
      <w:r w:rsidR="00AB6BE1" w:rsidRPr="00D13B67">
        <w:t xml:space="preserve"> Epp et al., 2020).</w:t>
      </w:r>
    </w:p>
    <w:p w14:paraId="13E282A4" w14:textId="3575EB66" w:rsidR="00FB2253" w:rsidRPr="00D13B67" w:rsidRDefault="002151C6" w:rsidP="006B7EE6">
      <w:pPr>
        <w:pStyle w:val="Body"/>
      </w:pPr>
      <w:r w:rsidRPr="00D13B67">
        <w:t>S</w:t>
      </w:r>
      <w:r w:rsidR="00A443F2" w:rsidRPr="00D13B67">
        <w:t xml:space="preserve">tudies on the accessibility of specific digital learning material are generally broad. </w:t>
      </w:r>
      <w:r w:rsidR="002D4CE6" w:rsidRPr="00D13B67">
        <w:t xml:space="preserve">A study of Irish digital learning material found that “not all digital content being used . . . is necessarily of a high quality or accessible” </w:t>
      </w:r>
      <w:r w:rsidR="00FB2253" w:rsidRPr="00D13B67">
        <w:t>(</w:t>
      </w:r>
      <w:r w:rsidR="002D4CE6" w:rsidRPr="00D13B67">
        <w:rPr>
          <w:rFonts w:ascii="Aptos" w:eastAsia="Aptos" w:hAnsi="Aptos" w:cs="Aptos"/>
        </w:rPr>
        <w:t>Marcus-Quinn, 2022</w:t>
      </w:r>
      <w:r w:rsidR="00FB2253" w:rsidRPr="00D13B67">
        <w:rPr>
          <w:rFonts w:ascii="Aptos" w:eastAsia="Aptos" w:hAnsi="Aptos" w:cs="Aptos"/>
        </w:rPr>
        <w:t xml:space="preserve">). </w:t>
      </w:r>
      <w:r w:rsidR="00142918" w:rsidRPr="00D13B67">
        <w:t>A</w:t>
      </w:r>
      <w:r w:rsidR="002D4CE6" w:rsidRPr="00D13B67">
        <w:t xml:space="preserve"> review of approaches to digital accessibility</w:t>
      </w:r>
      <w:r w:rsidR="00142918" w:rsidRPr="00D13B67">
        <w:t xml:space="preserve"> cited </w:t>
      </w:r>
      <w:r w:rsidR="002D4CE6" w:rsidRPr="00D13B67">
        <w:t xml:space="preserve">numerous studies </w:t>
      </w:r>
      <w:r w:rsidR="00142918" w:rsidRPr="00D13B67">
        <w:t>that found</w:t>
      </w:r>
      <w:r w:rsidR="002D4CE6" w:rsidRPr="00D13B67">
        <w:t xml:space="preserve"> digital educational content did not function properly with common assistive technology used by disabled students (Jackson, 2023). When a student cannot consume and engage with content using their required technology, they are excluded from the learning process </w:t>
      </w:r>
      <w:r w:rsidR="002D4CE6" w:rsidRPr="00D13B67">
        <w:rPr>
          <w:rFonts w:ascii="Aptos" w:eastAsia="Aptos" w:hAnsi="Aptos" w:cs="Aptos"/>
        </w:rPr>
        <w:t>(Fennelly-Atkinson et al., 2022)</w:t>
      </w:r>
      <w:r w:rsidR="002D4CE6" w:rsidRPr="00D13B67">
        <w:t xml:space="preserve">. Additionally, accessible content that functions with assistive technology is </w:t>
      </w:r>
      <w:r w:rsidR="002D4CE6" w:rsidRPr="00D13B67">
        <w:lastRenderedPageBreak/>
        <w:t xml:space="preserve">essential to allow students to adjust content (e.g., size of font, contrast, have content read aloud) to their needs </w:t>
      </w:r>
      <w:r w:rsidR="002D4CE6" w:rsidRPr="00D13B67">
        <w:rPr>
          <w:rFonts w:ascii="Aptos" w:eastAsia="Aptos" w:hAnsi="Aptos" w:cs="Aptos"/>
        </w:rPr>
        <w:t>(</w:t>
      </w:r>
      <w:proofErr w:type="spellStart"/>
      <w:r w:rsidR="002D4CE6" w:rsidRPr="00D13B67">
        <w:rPr>
          <w:rFonts w:ascii="Aptos" w:eastAsia="Aptos" w:hAnsi="Aptos" w:cs="Aptos"/>
        </w:rPr>
        <w:t>Marghalani</w:t>
      </w:r>
      <w:proofErr w:type="spellEnd"/>
      <w:r w:rsidR="002D4CE6" w:rsidRPr="00D13B67">
        <w:rPr>
          <w:rFonts w:ascii="Aptos" w:eastAsia="Aptos" w:hAnsi="Aptos" w:cs="Aptos"/>
        </w:rPr>
        <w:t xml:space="preserve"> </w:t>
      </w:r>
      <w:r w:rsidR="0094439F" w:rsidRPr="00D13B67">
        <w:rPr>
          <w:rFonts w:ascii="Aptos" w:eastAsia="Aptos" w:hAnsi="Aptos" w:cs="Aptos"/>
        </w:rPr>
        <w:t>&amp;</w:t>
      </w:r>
      <w:r w:rsidR="002D4CE6" w:rsidRPr="00D13B67">
        <w:rPr>
          <w:rFonts w:ascii="Aptos" w:eastAsia="Aptos" w:hAnsi="Aptos" w:cs="Aptos"/>
        </w:rPr>
        <w:t xml:space="preserve"> York, 2021).</w:t>
      </w:r>
      <w:r w:rsidR="002D4CE6" w:rsidRPr="00D13B67">
        <w:t xml:space="preserve"> Numerous studies on the benefit of assistive technology note that access, engagement, and academic success all increase for disabled students when content is accessible (Reyes et al., 2022) while others specifically note how inaccessible content hinders (or halts) academic progress (Bartz, 2020). </w:t>
      </w:r>
    </w:p>
    <w:p w14:paraId="581B4D9B" w14:textId="71D0DBFF" w:rsidR="00FB2253" w:rsidRPr="00D13B67" w:rsidRDefault="00FB2253" w:rsidP="00FB2253">
      <w:pPr>
        <w:pStyle w:val="Body"/>
        <w:rPr>
          <w:color w:val="000000" w:themeColor="text1"/>
        </w:rPr>
      </w:pPr>
      <w:r w:rsidRPr="00D13B67">
        <w:t>The accessibility of digital learning material distributed as documents</w:t>
      </w:r>
      <w:r w:rsidR="00C254A2" w:rsidRPr="00D13B67">
        <w:t>, such as lecture slides or digital readings,</w:t>
      </w:r>
      <w:r w:rsidRPr="00D13B67">
        <w:t xml:space="preserve"> is difficult to discern</w:t>
      </w:r>
      <w:r w:rsidR="00C254A2" w:rsidRPr="00D13B67">
        <w:t xml:space="preserve"> as they</w:t>
      </w:r>
      <w:r w:rsidRPr="00D13B67">
        <w:t xml:space="preserve"> are rarely public. Even</w:t>
      </w:r>
      <w:r w:rsidR="00C254A2" w:rsidRPr="00D13B67">
        <w:t xml:space="preserve"> if</w:t>
      </w:r>
      <w:r w:rsidRPr="00D13B67">
        <w:t xml:space="preserve"> public</w:t>
      </w:r>
      <w:r w:rsidR="00C254A2" w:rsidRPr="00D13B67">
        <w:t>,</w:t>
      </w:r>
      <w:r w:rsidRPr="00D13B67">
        <w:t xml:space="preserve"> documents would need to be downloaded to be assess</w:t>
      </w:r>
      <w:r w:rsidR="00C254A2" w:rsidRPr="00D13B67">
        <w:t>ed</w:t>
      </w:r>
      <w:r w:rsidRPr="00D13B67">
        <w:t xml:space="preserve"> for accessibility. Given that gap in the available research, some extrapolation is needed. </w:t>
      </w:r>
      <w:r w:rsidR="00A45821" w:rsidRPr="00D13B67">
        <w:t xml:space="preserve">Adobe, the company that created the PDF, admits that </w:t>
      </w:r>
      <w:r w:rsidRPr="00D13B67">
        <w:t>of the 2.5 trillion PDFs in existence</w:t>
      </w:r>
      <w:r w:rsidR="00A45821" w:rsidRPr="00D13B67">
        <w:t xml:space="preserve">, 90% </w:t>
      </w:r>
      <w:r w:rsidRPr="00D13B67">
        <w:t>are inaccessible (</w:t>
      </w:r>
      <w:r w:rsidRPr="00D13B67">
        <w:rPr>
          <w:color w:val="000000" w:themeColor="text1"/>
        </w:rPr>
        <w:t>Still, 2020; Yau, 2023)</w:t>
      </w:r>
      <w:r w:rsidR="00A45821" w:rsidRPr="00D13B67">
        <w:rPr>
          <w:color w:val="000000" w:themeColor="text1"/>
        </w:rPr>
        <w:t>;</w:t>
      </w:r>
      <w:r w:rsidRPr="00D13B67">
        <w:t xml:space="preserve"> </w:t>
      </w:r>
      <w:r w:rsidR="00A45821" w:rsidRPr="00D13B67">
        <w:rPr>
          <w:color w:val="000000" w:themeColor="text1"/>
        </w:rPr>
        <w:t>n</w:t>
      </w:r>
      <w:r w:rsidRPr="00D13B67">
        <w:rPr>
          <w:color w:val="000000" w:themeColor="text1"/>
        </w:rPr>
        <w:t xml:space="preserve">umerous studies confirm that roughly 90% of PDFs are inaccessible (Brady et al., 2015; </w:t>
      </w:r>
      <w:proofErr w:type="spellStart"/>
      <w:r w:rsidRPr="00D13B67">
        <w:rPr>
          <w:color w:val="000000" w:themeColor="text1"/>
        </w:rPr>
        <w:t>Nganji</w:t>
      </w:r>
      <w:proofErr w:type="spellEnd"/>
      <w:r w:rsidRPr="00D13B67">
        <w:rPr>
          <w:color w:val="000000" w:themeColor="text1"/>
        </w:rPr>
        <w:t xml:space="preserve">, 2015; </w:t>
      </w:r>
      <w:proofErr w:type="spellStart"/>
      <w:r w:rsidRPr="00D13B67">
        <w:rPr>
          <w:color w:val="000000" w:themeColor="text1"/>
        </w:rPr>
        <w:t>Nganji</w:t>
      </w:r>
      <w:proofErr w:type="spellEnd"/>
      <w:r w:rsidRPr="00D13B67">
        <w:rPr>
          <w:color w:val="000000" w:themeColor="text1"/>
        </w:rPr>
        <w:t xml:space="preserve">, 2018; Wang et al., 2021; </w:t>
      </w:r>
      <w:proofErr w:type="spellStart"/>
      <w:r w:rsidRPr="00D13B67">
        <w:rPr>
          <w:color w:val="000000" w:themeColor="text1"/>
        </w:rPr>
        <w:t>Darvishy</w:t>
      </w:r>
      <w:proofErr w:type="spellEnd"/>
      <w:r w:rsidRPr="00D13B67">
        <w:rPr>
          <w:color w:val="000000" w:themeColor="text1"/>
        </w:rPr>
        <w:t xml:space="preserve"> et al., 2023; Kumar </w:t>
      </w:r>
      <w:r w:rsidR="00096216" w:rsidRPr="00D13B67">
        <w:rPr>
          <w:color w:val="000000" w:themeColor="text1"/>
        </w:rPr>
        <w:t>&amp;</w:t>
      </w:r>
      <w:r w:rsidRPr="00D13B67">
        <w:rPr>
          <w:color w:val="000000" w:themeColor="text1"/>
        </w:rPr>
        <w:t xml:space="preserve"> Wang, 2024; </w:t>
      </w:r>
      <w:proofErr w:type="spellStart"/>
      <w:r w:rsidRPr="00D13B67">
        <w:rPr>
          <w:color w:val="000000" w:themeColor="text1"/>
        </w:rPr>
        <w:t>Pierrès</w:t>
      </w:r>
      <w:proofErr w:type="spellEnd"/>
      <w:r w:rsidRPr="00D13B67">
        <w:rPr>
          <w:color w:val="000000" w:themeColor="text1"/>
        </w:rPr>
        <w:t xml:space="preserve"> et al., 2024; Iannuzzi et al., 2025</w:t>
      </w:r>
      <w:r w:rsidR="00DD1528" w:rsidRPr="00D13B67">
        <w:rPr>
          <w:color w:val="000000" w:themeColor="text1"/>
        </w:rPr>
        <w:t xml:space="preserve">; axes4 &amp; </w:t>
      </w:r>
      <w:proofErr w:type="spellStart"/>
      <w:r w:rsidR="00DD1528" w:rsidRPr="00D13B67">
        <w:rPr>
          <w:color w:val="000000" w:themeColor="text1"/>
        </w:rPr>
        <w:t>mindscreen</w:t>
      </w:r>
      <w:proofErr w:type="spellEnd"/>
      <w:r w:rsidR="00DD1528" w:rsidRPr="00D13B67">
        <w:rPr>
          <w:color w:val="000000" w:themeColor="text1"/>
        </w:rPr>
        <w:t>, 2026</w:t>
      </w:r>
      <w:r w:rsidRPr="00D13B67">
        <w:rPr>
          <w:color w:val="000000" w:themeColor="text1"/>
        </w:rPr>
        <w:t xml:space="preserve">). </w:t>
      </w:r>
      <w:r w:rsidR="00C254A2" w:rsidRPr="00D13B67">
        <w:rPr>
          <w:color w:val="000000" w:themeColor="text1"/>
        </w:rPr>
        <w:t xml:space="preserve">The </w:t>
      </w:r>
      <w:r w:rsidRPr="00D13B67">
        <w:rPr>
          <w:color w:val="000000" w:themeColor="text1"/>
        </w:rPr>
        <w:t>PDF is an incredibly common document format across all sectors</w:t>
      </w:r>
      <w:r w:rsidR="007D6462" w:rsidRPr="00D13B67">
        <w:rPr>
          <w:color w:val="000000" w:themeColor="text1"/>
        </w:rPr>
        <w:t xml:space="preserve"> including education</w:t>
      </w:r>
      <w:r w:rsidRPr="00D13B67">
        <w:rPr>
          <w:color w:val="000000" w:themeColor="text1"/>
        </w:rPr>
        <w:t xml:space="preserve">. Given the inaccessibility of the web in general, the inaccessibility of post-secondary websites, and the alarmingly high rate of inaccessible PDF documents, it is reasonable to assume that content uploaded to and created in learning management systems suffers from similar rates of </w:t>
      </w:r>
      <w:r w:rsidR="007D6462" w:rsidRPr="00D13B67">
        <w:rPr>
          <w:color w:val="000000" w:themeColor="text1"/>
        </w:rPr>
        <w:t>in</w:t>
      </w:r>
      <w:r w:rsidRPr="00D13B67">
        <w:rPr>
          <w:color w:val="000000" w:themeColor="text1"/>
        </w:rPr>
        <w:t>accessibility.</w:t>
      </w:r>
    </w:p>
    <w:p w14:paraId="0450651A" w14:textId="45F530FE" w:rsidR="00F10E1E" w:rsidRPr="00D13B67" w:rsidRDefault="00C254A2" w:rsidP="00F10E1E">
      <w:pPr>
        <w:pStyle w:val="Body"/>
        <w:rPr>
          <w:rFonts w:ascii="Aptos" w:eastAsia="Aptos" w:hAnsi="Aptos" w:cs="Aptos"/>
        </w:rPr>
      </w:pPr>
      <w:r w:rsidRPr="00D13B67">
        <w:t>Other accessibility issues include inaccessible digital versions of textbooks</w:t>
      </w:r>
      <w:r w:rsidR="007501E3" w:rsidRPr="00D13B67">
        <w:t>,</w:t>
      </w:r>
      <w:r w:rsidRPr="00D13B67">
        <w:t xml:space="preserve"> primarily the use of embedded proprietary screen reading or text-to-speech technology that is unfamiliar to students or incompatible with their existing technology and the inconsistent availability of older titles in accessible digital formats (</w:t>
      </w:r>
      <w:proofErr w:type="spellStart"/>
      <w:r w:rsidRPr="00D13B67">
        <w:t>Fichten</w:t>
      </w:r>
      <w:proofErr w:type="spellEnd"/>
      <w:r w:rsidRPr="00D13B67">
        <w:t xml:space="preserve"> et al., 2020). </w:t>
      </w:r>
      <w:r w:rsidRPr="00D13B67">
        <w:lastRenderedPageBreak/>
        <w:t>Library content may not be accessible, and due to Canadian copyright law, a student must have a specific accommodation to be entitled to an accessible copy of some material</w:t>
      </w:r>
      <w:r w:rsidR="004032B1" w:rsidRPr="00D13B67">
        <w:t>.</w:t>
      </w:r>
      <w:r w:rsidRPr="00D13B67">
        <w:t xml:space="preserve"> Even when </w:t>
      </w:r>
      <w:r w:rsidRPr="00D13B67">
        <w:rPr>
          <w:i/>
          <w:iCs/>
        </w:rPr>
        <w:t>allowed</w:t>
      </w:r>
      <w:r w:rsidRPr="00D13B67">
        <w:t xml:space="preserve"> to have access, finding or creating an accessible copy may take significant time. </w:t>
      </w:r>
      <w:r w:rsidRPr="00D13B67">
        <w:rPr>
          <w:rFonts w:ascii="Aptos" w:eastAsia="Aptos" w:hAnsi="Aptos" w:cs="Aptos"/>
        </w:rPr>
        <w:t xml:space="preserve">An accessibility review of academic libraries’ online learning objects (e.g., documents, infographics, multimedia, research and subject guides, slide decks, </w:t>
      </w:r>
      <w:r w:rsidR="00371DD9" w:rsidRPr="00D13B67">
        <w:rPr>
          <w:rFonts w:ascii="Aptos" w:eastAsia="Aptos" w:hAnsi="Aptos" w:cs="Aptos"/>
        </w:rPr>
        <w:t>and</w:t>
      </w:r>
      <w:r w:rsidRPr="00D13B67">
        <w:rPr>
          <w:rFonts w:ascii="Aptos" w:eastAsia="Aptos" w:hAnsi="Aptos" w:cs="Aptos"/>
        </w:rPr>
        <w:t xml:space="preserve"> interactive content) found that accessibility criteria may be overwhelming for creators, even those aware of the importance of accessibility (Chee et al., 2022).</w:t>
      </w:r>
      <w:r w:rsidR="00A156AB" w:rsidRPr="00D13B67">
        <w:rPr>
          <w:rFonts w:ascii="Aptos" w:eastAsia="Aptos" w:hAnsi="Aptos" w:cs="Aptos"/>
        </w:rPr>
        <w:t xml:space="preserve"> </w:t>
      </w:r>
      <w:r w:rsidR="002D4CE6" w:rsidRPr="00D13B67">
        <w:t>Reyes et al. conclude</w:t>
      </w:r>
      <w:r w:rsidR="00A156AB" w:rsidRPr="00D13B67">
        <w:t>d in 2022</w:t>
      </w:r>
      <w:r w:rsidR="002D4CE6" w:rsidRPr="00D13B67">
        <w:t xml:space="preserve"> that despite the importance of accessibility and inclusion, “accessibility in Higher education is still in its infancy”</w:t>
      </w:r>
      <w:r w:rsidR="002D4CE6" w:rsidRPr="00D13B67">
        <w:rPr>
          <w:rFonts w:ascii="Aptos" w:eastAsia="Aptos" w:hAnsi="Aptos" w:cs="Aptos"/>
        </w:rPr>
        <w:t xml:space="preserve"> (Reyes et al., 2022, p. 582).</w:t>
      </w:r>
    </w:p>
    <w:p w14:paraId="2499BAAA" w14:textId="77777777" w:rsidR="00E5778A" w:rsidRDefault="004B105D" w:rsidP="005C35BF">
      <w:pPr>
        <w:pStyle w:val="Body"/>
        <w:rPr>
          <w:rFonts w:eastAsia="Aptos"/>
          <w:color w:val="000000" w:themeColor="text1"/>
        </w:rPr>
      </w:pPr>
      <w:r w:rsidRPr="00D13B67">
        <w:rPr>
          <w:rFonts w:eastAsia="Aptos"/>
        </w:rPr>
        <w:t>Regardless of format or medium, a</w:t>
      </w:r>
      <w:r w:rsidR="002D4CE6" w:rsidRPr="00D13B67">
        <w:rPr>
          <w:rFonts w:eastAsia="Aptos"/>
        </w:rPr>
        <w:t xml:space="preserve"> significant issue with measuring accessibility is that technical accessibility and functional usability are not </w:t>
      </w:r>
      <w:r w:rsidR="002A330C" w:rsidRPr="00D13B67">
        <w:rPr>
          <w:rFonts w:eastAsia="Aptos"/>
        </w:rPr>
        <w:t>necessarily</w:t>
      </w:r>
      <w:r w:rsidR="002D4CE6" w:rsidRPr="00D13B67">
        <w:rPr>
          <w:rFonts w:eastAsia="Aptos"/>
        </w:rPr>
        <w:t xml:space="preserve"> equal. An early review of website accessibility </w:t>
      </w:r>
      <w:r w:rsidR="00F10E1E" w:rsidRPr="00D13B67">
        <w:rPr>
          <w:rFonts w:eastAsia="Aptos"/>
        </w:rPr>
        <w:t xml:space="preserve">and usability </w:t>
      </w:r>
      <w:r w:rsidR="002D4CE6" w:rsidRPr="00D13B67">
        <w:rPr>
          <w:rFonts w:eastAsia="Aptos"/>
        </w:rPr>
        <w:t>compared to WCAG criteria found that 45% of accessibility and usability problems reported were not a violation of any WCAG 1.0 Checkpoints (Kelly et al., 2004). Websites could be in full compliance while still being largely unusable by disabled people</w:t>
      </w:r>
      <w:r w:rsidR="00B37B28" w:rsidRPr="00D13B67">
        <w:rPr>
          <w:rFonts w:eastAsia="Aptos"/>
        </w:rPr>
        <w:t>, particularly blind users of screen reader software</w:t>
      </w:r>
      <w:r w:rsidR="002D4CE6" w:rsidRPr="00D13B67">
        <w:rPr>
          <w:rFonts w:eastAsia="Aptos"/>
        </w:rPr>
        <w:t xml:space="preserve">. </w:t>
      </w:r>
      <w:r w:rsidR="002D4CE6" w:rsidRPr="00D13B67">
        <w:rPr>
          <w:rFonts w:eastAsia="Aptos"/>
          <w:color w:val="000000" w:themeColor="text1"/>
        </w:rPr>
        <w:t xml:space="preserve">A more useful test of accessibility is whether disabled users can use something, not whether it conforms to guidelines (Kelly et al., 2005). </w:t>
      </w:r>
      <w:r w:rsidR="00682383" w:rsidRPr="00D13B67">
        <w:rPr>
          <w:rFonts w:eastAsia="Aptos"/>
          <w:color w:val="000000" w:themeColor="text1"/>
        </w:rPr>
        <w:t>While accessibility and usability have similar goals</w:t>
      </w:r>
      <w:r w:rsidR="009F088C" w:rsidRPr="00D13B67">
        <w:rPr>
          <w:rFonts w:eastAsia="Aptos"/>
          <w:color w:val="000000" w:themeColor="text1"/>
        </w:rPr>
        <w:t xml:space="preserve">; usability does not focus on individuals who interact with content via means outside the assumed norm and accessibility does not </w:t>
      </w:r>
      <w:r w:rsidR="00CF5BFA" w:rsidRPr="00D13B67">
        <w:rPr>
          <w:rFonts w:eastAsia="Aptos"/>
          <w:color w:val="000000" w:themeColor="text1"/>
        </w:rPr>
        <w:t xml:space="preserve">consider the user experience beyond </w:t>
      </w:r>
      <w:r w:rsidR="00CF2712" w:rsidRPr="00D13B67">
        <w:rPr>
          <w:rFonts w:eastAsia="Aptos"/>
          <w:color w:val="000000" w:themeColor="text1"/>
        </w:rPr>
        <w:t xml:space="preserve">a question of basic access (Fritz et al., 2019). </w:t>
      </w:r>
      <w:r w:rsidR="00B46806" w:rsidRPr="00D13B67">
        <w:rPr>
          <w:rFonts w:eastAsia="Aptos"/>
          <w:color w:val="000000" w:themeColor="text1"/>
        </w:rPr>
        <w:t>WCAG</w:t>
      </w:r>
      <w:r w:rsidR="00CF5BFA" w:rsidRPr="00D13B67">
        <w:rPr>
          <w:rFonts w:eastAsia="Aptos"/>
          <w:color w:val="000000" w:themeColor="text1"/>
        </w:rPr>
        <w:t xml:space="preserve"> shortcomings</w:t>
      </w:r>
      <w:r w:rsidR="00450533" w:rsidRPr="00D13B67">
        <w:rPr>
          <w:rFonts w:eastAsia="Aptos"/>
          <w:color w:val="000000" w:themeColor="text1"/>
        </w:rPr>
        <w:t xml:space="preserve"> may be addressed in upcoming updates to WCAG, specifically the release of WCAG 3.0, as discussed </w:t>
      </w:r>
      <w:r w:rsidR="004032B1" w:rsidRPr="00D13B67">
        <w:rPr>
          <w:rFonts w:eastAsia="Aptos"/>
          <w:color w:val="000000" w:themeColor="text1"/>
        </w:rPr>
        <w:t>in section 2.3.1</w:t>
      </w:r>
      <w:r w:rsidR="00450533" w:rsidRPr="00D13B67">
        <w:rPr>
          <w:rFonts w:eastAsia="Aptos"/>
          <w:color w:val="000000" w:themeColor="text1"/>
        </w:rPr>
        <w:t xml:space="preserve">. </w:t>
      </w:r>
      <w:r w:rsidR="002D4CE6" w:rsidRPr="00D13B67">
        <w:rPr>
          <w:rFonts w:eastAsia="Aptos"/>
          <w:color w:val="000000" w:themeColor="text1"/>
        </w:rPr>
        <w:t xml:space="preserve">Other research </w:t>
      </w:r>
      <w:r w:rsidR="00E745D0" w:rsidRPr="00D13B67">
        <w:rPr>
          <w:rFonts w:eastAsia="Aptos"/>
          <w:color w:val="000000" w:themeColor="text1"/>
        </w:rPr>
        <w:t>confirms</w:t>
      </w:r>
      <w:r w:rsidR="002D4CE6" w:rsidRPr="00D13B67">
        <w:rPr>
          <w:rFonts w:eastAsia="Aptos"/>
          <w:color w:val="000000" w:themeColor="text1"/>
        </w:rPr>
        <w:t xml:space="preserve"> that even when digital content complies with WCAG, users </w:t>
      </w:r>
      <w:r w:rsidR="002D4CE6" w:rsidRPr="00D13B67">
        <w:rPr>
          <w:rFonts w:eastAsia="Aptos"/>
          <w:color w:val="000000" w:themeColor="text1"/>
        </w:rPr>
        <w:lastRenderedPageBreak/>
        <w:t>with disabilities will still encounter significant barriers (Power et al., 2012). Additional criticisms of WCAG note that universally standardized approaches may unintentionally exclude disabled people whose experience</w:t>
      </w:r>
      <w:r w:rsidR="005C5B16" w:rsidRPr="00D13B67">
        <w:rPr>
          <w:rFonts w:eastAsia="Aptos"/>
          <w:color w:val="000000" w:themeColor="text1"/>
        </w:rPr>
        <w:t>s</w:t>
      </w:r>
      <w:r w:rsidR="002D4CE6" w:rsidRPr="00D13B67">
        <w:rPr>
          <w:rFonts w:eastAsia="Aptos"/>
          <w:color w:val="000000" w:themeColor="text1"/>
        </w:rPr>
        <w:t xml:space="preserve"> do not conform to Western disability norms (Lewthwaite, 2014). Accessibility testing against set criteria by non-disabled</w:t>
      </w:r>
      <w:r w:rsidR="00073A33" w:rsidRPr="00D13B67">
        <w:rPr>
          <w:rFonts w:eastAsia="Aptos"/>
          <w:color w:val="000000" w:themeColor="text1"/>
        </w:rPr>
        <w:t>—</w:t>
      </w:r>
      <w:r w:rsidR="002D4CE6" w:rsidRPr="00D13B67">
        <w:rPr>
          <w:rFonts w:eastAsia="Aptos"/>
          <w:color w:val="000000" w:themeColor="text1"/>
        </w:rPr>
        <w:t>albeit well-intentioned</w:t>
      </w:r>
      <w:r w:rsidR="00073A33" w:rsidRPr="00D13B67">
        <w:rPr>
          <w:rFonts w:eastAsia="Aptos"/>
          <w:color w:val="000000" w:themeColor="text1"/>
        </w:rPr>
        <w:t>—</w:t>
      </w:r>
      <w:r w:rsidR="002D4CE6" w:rsidRPr="00D13B67">
        <w:rPr>
          <w:rFonts w:eastAsia="Aptos"/>
          <w:color w:val="000000" w:themeColor="text1"/>
        </w:rPr>
        <w:t xml:space="preserve">programmers, developers, and designers is not an effective way to produce truly accessible and inclusive content. </w:t>
      </w:r>
      <w:r w:rsidR="006472C3" w:rsidRPr="00D13B67">
        <w:rPr>
          <w:rFonts w:eastAsia="Aptos"/>
        </w:rPr>
        <w:t>Even basic web accessibility testing can be difficult, time consuming, and confusing; to look at functional accessibility requires a highly</w:t>
      </w:r>
      <w:r w:rsidR="00073A33" w:rsidRPr="00D13B67">
        <w:rPr>
          <w:rFonts w:eastAsia="Aptos"/>
        </w:rPr>
        <w:t xml:space="preserve"> </w:t>
      </w:r>
      <w:r w:rsidR="006472C3" w:rsidRPr="00D13B67">
        <w:rPr>
          <w:rFonts w:eastAsia="Aptos"/>
        </w:rPr>
        <w:t xml:space="preserve">skilled professional (Briggs et al., 2024). </w:t>
      </w:r>
      <w:r w:rsidR="002D4CE6" w:rsidRPr="00D13B67">
        <w:rPr>
          <w:rFonts w:eastAsia="Aptos"/>
        </w:rPr>
        <w:t>A 2021 study of European accessibility initiatives confirm that “there is still a clear gap between the legislations designed to improve digital accessibility and their practical implementation” due to high costs, technical skills required, lack of resources and “a lack of awareness as to how people with disabilities are likely to engage with such content” (</w:t>
      </w:r>
      <w:proofErr w:type="spellStart"/>
      <w:r w:rsidR="002D4CE6" w:rsidRPr="00D13B67">
        <w:rPr>
          <w:rFonts w:eastAsia="Aptos"/>
        </w:rPr>
        <w:t>Oncins</w:t>
      </w:r>
      <w:proofErr w:type="spellEnd"/>
      <w:r w:rsidR="002D4CE6" w:rsidRPr="00D13B67">
        <w:rPr>
          <w:rFonts w:eastAsia="Aptos"/>
        </w:rPr>
        <w:t xml:space="preserve"> </w:t>
      </w:r>
      <w:r w:rsidR="00737775" w:rsidRPr="00D13B67">
        <w:rPr>
          <w:rFonts w:eastAsia="Aptos"/>
        </w:rPr>
        <w:t>&amp;</w:t>
      </w:r>
      <w:r w:rsidR="002D4CE6" w:rsidRPr="00D13B67">
        <w:rPr>
          <w:rFonts w:eastAsia="Aptos"/>
        </w:rPr>
        <w:t xml:space="preserve"> Orero, 2021, p. 85). Not only do these findings align with </w:t>
      </w:r>
      <w:r w:rsidR="006472C3" w:rsidRPr="00D13B67">
        <w:rPr>
          <w:rFonts w:eastAsia="Aptos"/>
        </w:rPr>
        <w:t>the</w:t>
      </w:r>
      <w:r w:rsidR="002D4CE6" w:rsidRPr="00D13B67">
        <w:rPr>
          <w:rFonts w:eastAsia="Aptos"/>
        </w:rPr>
        <w:t xml:space="preserve"> assertion that digital accessibility legislation has not achieved its goals, but that consultation with disabled people is needed to best understand how they engage with and consume digital content. </w:t>
      </w:r>
      <w:r w:rsidR="00612396" w:rsidRPr="00D13B67">
        <w:rPr>
          <w:rFonts w:eastAsia="Aptos"/>
          <w:color w:val="000000" w:themeColor="text1"/>
        </w:rPr>
        <w:t>Engaging with the users most impacted by inaccessible content, in this case disabled students using assistive technology, may provide a more fulsome picture of what is not just technically accessible, but functionally usable.</w:t>
      </w:r>
      <w:r w:rsidR="00E5778A">
        <w:rPr>
          <w:rFonts w:eastAsia="Aptos"/>
          <w:color w:val="000000" w:themeColor="text1"/>
        </w:rPr>
        <w:t xml:space="preserve"> </w:t>
      </w:r>
    </w:p>
    <w:p w14:paraId="6FF9BD81" w14:textId="77777777" w:rsidR="0057273E" w:rsidRDefault="00E5778A" w:rsidP="0057273E">
      <w:pPr>
        <w:pStyle w:val="Body"/>
        <w:rPr>
          <w:rFonts w:eastAsia="Aptos"/>
          <w:color w:val="000000" w:themeColor="text1"/>
        </w:rPr>
      </w:pPr>
      <w:r>
        <w:rPr>
          <w:rFonts w:eastAsia="Aptos"/>
          <w:color w:val="000000" w:themeColor="text1"/>
        </w:rPr>
        <w:t xml:space="preserve">While both web content and PDF documents exhibit high rates of accessibility </w:t>
      </w:r>
      <w:r w:rsidR="00945D16">
        <w:rPr>
          <w:rFonts w:eastAsia="Aptos"/>
          <w:color w:val="000000" w:themeColor="text1"/>
        </w:rPr>
        <w:t xml:space="preserve">issues, web content may be the preferred medium for learning materials. A PDF with significant accessibility deficiencies risks being entirely unreadable by screen reader and text to speech software, while its fixed layout prevents reflowing to </w:t>
      </w:r>
      <w:r w:rsidR="00AD6517">
        <w:rPr>
          <w:rFonts w:eastAsia="Aptos"/>
          <w:color w:val="000000" w:themeColor="text1"/>
        </w:rPr>
        <w:t xml:space="preserve">users’ varying screen </w:t>
      </w:r>
      <w:r w:rsidR="00AD6517">
        <w:rPr>
          <w:rFonts w:eastAsia="Aptos"/>
          <w:color w:val="000000" w:themeColor="text1"/>
        </w:rPr>
        <w:lastRenderedPageBreak/>
        <w:t xml:space="preserve">sizes, desired zoom levels, or font preferences. Inaccessible web content presents its own considerable barriers; however, its underlying structure typically preserves a base level of functional </w:t>
      </w:r>
      <w:r w:rsidR="0057273E">
        <w:rPr>
          <w:rFonts w:eastAsia="Aptos"/>
          <w:color w:val="000000" w:themeColor="text1"/>
        </w:rPr>
        <w:t>machine-readable</w:t>
      </w:r>
      <w:r w:rsidR="00AD6517">
        <w:rPr>
          <w:rFonts w:eastAsia="Aptos"/>
          <w:color w:val="000000" w:themeColor="text1"/>
        </w:rPr>
        <w:t xml:space="preserve"> text</w:t>
      </w:r>
      <w:r w:rsidR="0057273E">
        <w:rPr>
          <w:rFonts w:eastAsia="Aptos"/>
          <w:color w:val="000000" w:themeColor="text1"/>
        </w:rPr>
        <w:t>. While the experience may not be perfect, web content at least allows a minimum level of access that PDF often denies.</w:t>
      </w:r>
    </w:p>
    <w:p w14:paraId="1FC103E9" w14:textId="3F60646F" w:rsidR="009B1F13" w:rsidRPr="0057273E" w:rsidRDefault="002D4CE6" w:rsidP="0057273E">
      <w:pPr>
        <w:pStyle w:val="Body"/>
        <w:rPr>
          <w:rFonts w:eastAsia="Aptos"/>
          <w:color w:val="000000" w:themeColor="text1"/>
        </w:rPr>
      </w:pPr>
      <w:r w:rsidRPr="00D13B67">
        <w:rPr>
          <w:rFonts w:eastAsia="Aptos"/>
        </w:rPr>
        <w:t xml:space="preserve">Despite decades of accessibility legislation (e.g., ADA, AODA, EN 301 549) there has been little progress in improving </w:t>
      </w:r>
      <w:r w:rsidR="00557F22" w:rsidRPr="00D13B67">
        <w:rPr>
          <w:rFonts w:eastAsia="Aptos"/>
        </w:rPr>
        <w:t>digital</w:t>
      </w:r>
      <w:r w:rsidRPr="00D13B67">
        <w:rPr>
          <w:rFonts w:eastAsia="Aptos"/>
        </w:rPr>
        <w:t xml:space="preserve"> accessibility </w:t>
      </w:r>
      <w:r w:rsidR="00557F22" w:rsidRPr="00D13B67">
        <w:rPr>
          <w:rFonts w:eastAsia="Aptos"/>
        </w:rPr>
        <w:t xml:space="preserve">and the accessibility </w:t>
      </w:r>
      <w:r w:rsidRPr="00D13B67">
        <w:rPr>
          <w:rFonts w:eastAsia="Aptos"/>
        </w:rPr>
        <w:t xml:space="preserve">of digital </w:t>
      </w:r>
      <w:r w:rsidR="00557F22" w:rsidRPr="00D13B67">
        <w:rPr>
          <w:rFonts w:eastAsia="Aptos"/>
        </w:rPr>
        <w:t xml:space="preserve">learning </w:t>
      </w:r>
      <w:r w:rsidRPr="00D13B67">
        <w:rPr>
          <w:rFonts w:eastAsia="Aptos"/>
        </w:rPr>
        <w:t xml:space="preserve">material. </w:t>
      </w:r>
      <w:r w:rsidR="002C5E59" w:rsidRPr="00D13B67">
        <w:rPr>
          <w:rFonts w:eastAsia="Aptos"/>
        </w:rPr>
        <w:t xml:space="preserve">Additional </w:t>
      </w:r>
      <w:r w:rsidR="003A751F" w:rsidRPr="00D13B67">
        <w:rPr>
          <w:rFonts w:eastAsia="Aptos"/>
        </w:rPr>
        <w:t xml:space="preserve">jurisdictions adopting similar legislation in recent years (e.g., ACA, Accessible BC Act) </w:t>
      </w:r>
      <w:r w:rsidR="005C5B16" w:rsidRPr="00D13B67">
        <w:rPr>
          <w:rFonts w:eastAsia="Aptos"/>
        </w:rPr>
        <w:t>may be</w:t>
      </w:r>
      <w:r w:rsidR="00557F22" w:rsidRPr="00D13B67">
        <w:rPr>
          <w:rFonts w:eastAsia="Aptos"/>
        </w:rPr>
        <w:t xml:space="preserve"> unlikely to </w:t>
      </w:r>
      <w:r w:rsidR="005C35BF" w:rsidRPr="00D13B67">
        <w:rPr>
          <w:rFonts w:eastAsia="Aptos"/>
        </w:rPr>
        <w:t>spur</w:t>
      </w:r>
      <w:r w:rsidR="00557F22" w:rsidRPr="00D13B67">
        <w:rPr>
          <w:rFonts w:eastAsia="Aptos"/>
        </w:rPr>
        <w:t xml:space="preserve"> significant </w:t>
      </w:r>
      <w:r w:rsidR="005C35BF" w:rsidRPr="00D13B67">
        <w:rPr>
          <w:rFonts w:eastAsia="Aptos"/>
        </w:rPr>
        <w:t>progress.</w:t>
      </w:r>
      <w:r w:rsidR="0031024B" w:rsidRPr="00D13B67">
        <w:rPr>
          <w:rFonts w:eastAsia="Aptos"/>
        </w:rPr>
        <w:t xml:space="preserve"> </w:t>
      </w:r>
      <w:r w:rsidR="002F5260" w:rsidRPr="00D13B67">
        <w:t>The existing legislation-based, compliance-focused accessibility movement is misaligned with the needs of disabled people</w:t>
      </w:r>
      <w:r w:rsidR="00C973B2" w:rsidRPr="00D13B67">
        <w:t xml:space="preserve"> leading </w:t>
      </w:r>
      <w:r w:rsidR="002F5260" w:rsidRPr="00D13B67">
        <w:t>some</w:t>
      </w:r>
      <w:r w:rsidR="00C973B2" w:rsidRPr="00D13B67">
        <w:t xml:space="preserve"> to</w:t>
      </w:r>
      <w:r w:rsidR="002F5260" w:rsidRPr="00D13B67">
        <w:t xml:space="preserve"> wonder if it were possible to design the system to be any worse. </w:t>
      </w:r>
      <w:r w:rsidR="00A92553" w:rsidRPr="00D13B67">
        <w:t>Founder of the Inclusive Design Research Centre</w:t>
      </w:r>
      <w:r w:rsidR="005C5B16" w:rsidRPr="00D13B67">
        <w:t xml:space="preserve"> (IDRC)</w:t>
      </w:r>
      <w:r w:rsidR="00A92553" w:rsidRPr="00D13B67">
        <w:t xml:space="preserve"> and noted digital accessibility expert </w:t>
      </w:r>
      <w:r w:rsidR="002F5260" w:rsidRPr="00D13B67">
        <w:rPr>
          <w:rFonts w:eastAsia="Aptos"/>
        </w:rPr>
        <w:t xml:space="preserve">Jutta </w:t>
      </w:r>
      <w:proofErr w:type="spellStart"/>
      <w:r w:rsidR="002F5260" w:rsidRPr="00D13B67">
        <w:rPr>
          <w:rFonts w:eastAsia="Aptos"/>
        </w:rPr>
        <w:t>Treviranus</w:t>
      </w:r>
      <w:proofErr w:type="spellEnd"/>
      <w:r w:rsidR="00A92553" w:rsidRPr="00D13B67">
        <w:rPr>
          <w:rFonts w:eastAsia="Aptos"/>
        </w:rPr>
        <w:t xml:space="preserve"> (2021)</w:t>
      </w:r>
      <w:r w:rsidR="002F5260" w:rsidRPr="00D13B67">
        <w:rPr>
          <w:rFonts w:eastAsia="Aptos"/>
        </w:rPr>
        <w:t xml:space="preserve"> states that “web accessibility legislation is a tragic, but necessary, last resort measure to fix something that should not have been this broken</w:t>
      </w:r>
      <w:r w:rsidR="00A92553" w:rsidRPr="00D13B67">
        <w:rPr>
          <w:rFonts w:eastAsia="Aptos"/>
        </w:rPr>
        <w:t>.</w:t>
      </w:r>
      <w:r w:rsidR="002F5260" w:rsidRPr="00D13B67">
        <w:rPr>
          <w:rFonts w:eastAsia="Aptos"/>
        </w:rPr>
        <w:t xml:space="preserve">” </w:t>
      </w:r>
      <w:proofErr w:type="spellStart"/>
      <w:r w:rsidR="002F5260" w:rsidRPr="00D13B67">
        <w:rPr>
          <w:rFonts w:eastAsia="Aptos"/>
        </w:rPr>
        <w:t>Treviranus</w:t>
      </w:r>
      <w:proofErr w:type="spellEnd"/>
      <w:r w:rsidR="002F5260" w:rsidRPr="00D13B67">
        <w:rPr>
          <w:rFonts w:eastAsia="Aptos"/>
        </w:rPr>
        <w:t xml:space="preserve"> marvels at the current state of digital accessibility in which the onus to create accessible content is on individual authors who have little to no understanding of complex, shifting guidelines</w:t>
      </w:r>
      <w:r w:rsidR="00E617CD" w:rsidRPr="00D13B67">
        <w:rPr>
          <w:rFonts w:eastAsia="Aptos"/>
        </w:rPr>
        <w:t>;</w:t>
      </w:r>
      <w:r w:rsidR="002F5260" w:rsidRPr="00D13B67">
        <w:rPr>
          <w:rFonts w:eastAsia="Aptos"/>
        </w:rPr>
        <w:t xml:space="preserve"> guidelines </w:t>
      </w:r>
      <w:r w:rsidR="00E617CD" w:rsidRPr="00D13B67">
        <w:rPr>
          <w:rFonts w:eastAsia="Aptos"/>
        </w:rPr>
        <w:t xml:space="preserve">that </w:t>
      </w:r>
      <w:r w:rsidR="002F5260" w:rsidRPr="00D13B67">
        <w:rPr>
          <w:rFonts w:eastAsia="Aptos"/>
        </w:rPr>
        <w:t xml:space="preserve">are used to emphasize that inaccessibility is a risk, not an opportunity. To mitigate this risk, a whole industry of consultants and remediation specialists </w:t>
      </w:r>
      <w:r w:rsidR="00D21A18" w:rsidRPr="00D13B67">
        <w:rPr>
          <w:rFonts w:eastAsia="Aptos"/>
        </w:rPr>
        <w:t>exists</w:t>
      </w:r>
      <w:r w:rsidR="002F5260" w:rsidRPr="00D13B67">
        <w:rPr>
          <w:rFonts w:eastAsia="Aptos"/>
        </w:rPr>
        <w:t xml:space="preserve"> to certify an organization as accessible, with little to no regard for the experience of disabled users. As these accessibility professionals are seen to be helping people with disabilities, they </w:t>
      </w:r>
      <w:r w:rsidR="007F3A93" w:rsidRPr="00D13B67">
        <w:rPr>
          <w:rFonts w:eastAsia="Aptos"/>
        </w:rPr>
        <w:t>become</w:t>
      </w:r>
      <w:r w:rsidR="002F5260" w:rsidRPr="00D13B67">
        <w:rPr>
          <w:rFonts w:eastAsia="Aptos"/>
        </w:rPr>
        <w:t xml:space="preserve"> powerful lobbyists </w:t>
      </w:r>
      <w:r w:rsidR="009B1F13" w:rsidRPr="00D13B67">
        <w:rPr>
          <w:rFonts w:eastAsia="Aptos"/>
        </w:rPr>
        <w:t>according to Treviranus:</w:t>
      </w:r>
    </w:p>
    <w:p w14:paraId="752C610A" w14:textId="40672332" w:rsidR="009B1F13" w:rsidRPr="00D13B67" w:rsidRDefault="009B1F13" w:rsidP="009B1F13">
      <w:pPr>
        <w:pStyle w:val="Body"/>
        <w:ind w:left="709" w:firstLine="0"/>
        <w:rPr>
          <w:rFonts w:eastAsia="Aptos"/>
        </w:rPr>
      </w:pPr>
      <w:r w:rsidRPr="00D13B67">
        <w:rPr>
          <w:rFonts w:eastAsia="Aptos"/>
        </w:rPr>
        <w:lastRenderedPageBreak/>
        <w:t>W</w:t>
      </w:r>
      <w:r w:rsidR="002F5260" w:rsidRPr="00D13B67">
        <w:rPr>
          <w:rFonts w:eastAsia="Aptos"/>
        </w:rPr>
        <w:t xml:space="preserve">hose interest it is to strengthen the web content </w:t>
      </w:r>
      <w:proofErr w:type="gramStart"/>
      <w:r w:rsidR="002F5260" w:rsidRPr="00D13B67">
        <w:rPr>
          <w:rFonts w:eastAsia="Aptos"/>
        </w:rPr>
        <w:t>legislation, but</w:t>
      </w:r>
      <w:proofErr w:type="gramEnd"/>
      <w:r w:rsidR="002F5260" w:rsidRPr="00D13B67">
        <w:rPr>
          <w:rFonts w:eastAsia="Aptos"/>
        </w:rPr>
        <w:t xml:space="preserve"> not fix the overall problem by making the Web accessible by default, through the authoring tools, browsers, markup and code, because that would end the burgeoning web accessibility industry</w:t>
      </w:r>
      <w:r w:rsidRPr="00D13B67">
        <w:rPr>
          <w:rFonts w:eastAsia="Aptos"/>
        </w:rPr>
        <w:t>.</w:t>
      </w:r>
      <w:r w:rsidR="002F5260" w:rsidRPr="00D13B67">
        <w:rPr>
          <w:rFonts w:eastAsia="Aptos"/>
        </w:rPr>
        <w:t xml:space="preserve"> (2021)</w:t>
      </w:r>
      <w:r w:rsidR="002A5245" w:rsidRPr="00D13B67">
        <w:rPr>
          <w:rFonts w:eastAsia="Aptos"/>
        </w:rPr>
        <w:t xml:space="preserve"> </w:t>
      </w:r>
    </w:p>
    <w:p w14:paraId="3BF20D1F" w14:textId="27FFCC95" w:rsidR="58146045" w:rsidRPr="00D13B67" w:rsidRDefault="00706217" w:rsidP="009B1F13">
      <w:pPr>
        <w:pStyle w:val="Body"/>
        <w:ind w:firstLine="0"/>
        <w:rPr>
          <w:rFonts w:eastAsia="Aptos"/>
        </w:rPr>
      </w:pPr>
      <w:r w:rsidRPr="00D13B67">
        <w:rPr>
          <w:rFonts w:eastAsia="Aptos"/>
        </w:rPr>
        <w:t xml:space="preserve">As Clay Shirky </w:t>
      </w:r>
      <w:r w:rsidR="004032B1" w:rsidRPr="00D13B67">
        <w:rPr>
          <w:rFonts w:eastAsia="Aptos"/>
        </w:rPr>
        <w:t>(2010)</w:t>
      </w:r>
      <w:r w:rsidRPr="00D13B67">
        <w:rPr>
          <w:rFonts w:eastAsia="Aptos"/>
        </w:rPr>
        <w:t xml:space="preserve"> writes, “an organization that commits to helping society manage a problem also commits itself to the preservation of that same problem, as its institutional existence hinges on society’s continued need for its management”</w:t>
      </w:r>
      <w:r w:rsidR="0049329A" w:rsidRPr="00D13B67">
        <w:rPr>
          <w:rFonts w:eastAsia="Aptos"/>
        </w:rPr>
        <w:t>.</w:t>
      </w:r>
      <w:r w:rsidR="00E72620" w:rsidRPr="00D13B67">
        <w:rPr>
          <w:rFonts w:eastAsia="Aptos"/>
        </w:rPr>
        <w:t xml:space="preserve"> </w:t>
      </w:r>
      <w:r w:rsidR="008508C1" w:rsidRPr="00D13B67">
        <w:rPr>
          <w:rFonts w:eastAsia="Aptos"/>
        </w:rPr>
        <w:t>Profit seeking i</w:t>
      </w:r>
      <w:r w:rsidR="00E72620" w:rsidRPr="00D13B67">
        <w:rPr>
          <w:rFonts w:eastAsia="Aptos"/>
        </w:rPr>
        <w:t>nstitutions have an interest in preserving the problem to which they are the solution.</w:t>
      </w:r>
      <w:r w:rsidR="002F5260" w:rsidRPr="00D13B67">
        <w:rPr>
          <w:rFonts w:eastAsia="Aptos"/>
        </w:rPr>
        <w:t xml:space="preserve"> </w:t>
      </w:r>
      <w:proofErr w:type="spellStart"/>
      <w:r w:rsidR="006C4202" w:rsidRPr="00D13B67">
        <w:rPr>
          <w:rFonts w:eastAsia="Aptos"/>
        </w:rPr>
        <w:t>Treviranus</w:t>
      </w:r>
      <w:proofErr w:type="spellEnd"/>
      <w:r w:rsidR="006C4202" w:rsidRPr="00D13B67">
        <w:rPr>
          <w:rFonts w:eastAsia="Aptos"/>
        </w:rPr>
        <w:t xml:space="preserve"> </w:t>
      </w:r>
      <w:r w:rsidR="004032B1" w:rsidRPr="00D13B67">
        <w:rPr>
          <w:rFonts w:eastAsia="Aptos"/>
        </w:rPr>
        <w:t>(2023)</w:t>
      </w:r>
      <w:r w:rsidR="006C4202" w:rsidRPr="00D13B67">
        <w:rPr>
          <w:rFonts w:eastAsia="Aptos"/>
        </w:rPr>
        <w:t xml:space="preserve"> labels this a</w:t>
      </w:r>
      <w:r w:rsidR="002F5260" w:rsidRPr="00D13B67">
        <w:rPr>
          <w:rFonts w:eastAsia="Aptos"/>
        </w:rPr>
        <w:t xml:space="preserve"> ‘Machiavellian playbook’ </w:t>
      </w:r>
      <w:r w:rsidR="006C4202" w:rsidRPr="00D13B67">
        <w:rPr>
          <w:rFonts w:eastAsia="Aptos"/>
        </w:rPr>
        <w:t xml:space="preserve">that </w:t>
      </w:r>
      <w:r w:rsidR="002F5260" w:rsidRPr="00D13B67">
        <w:rPr>
          <w:rFonts w:eastAsia="Aptos"/>
        </w:rPr>
        <w:t>appears to support accessibility while ensuring inaccessibility is the norm and</w:t>
      </w:r>
      <w:r w:rsidR="00384AAA" w:rsidRPr="00D13B67">
        <w:rPr>
          <w:rFonts w:eastAsia="Aptos"/>
        </w:rPr>
        <w:t>, in turn,</w:t>
      </w:r>
      <w:r w:rsidR="002F5260" w:rsidRPr="00D13B67">
        <w:rPr>
          <w:rFonts w:eastAsia="Aptos"/>
        </w:rPr>
        <w:t xml:space="preserve"> profitable. Digital content is, according to Treviranus, broken (perhaps intentionally) and there are few tools to assist in the proactive creation of born-accessible content</w:t>
      </w:r>
      <w:r w:rsidR="00D726BE" w:rsidRPr="00D13B67">
        <w:rPr>
          <w:rFonts w:eastAsia="Aptos"/>
        </w:rPr>
        <w:t>:</w:t>
      </w:r>
      <w:r w:rsidR="002F5260" w:rsidRPr="00D13B67">
        <w:rPr>
          <w:rFonts w:eastAsia="Aptos"/>
        </w:rPr>
        <w:t xml:space="preserve"> “everyone creating content for the Web has to help fix it, using complex, confusing, quickly outdated rules beyond the understanding of the majority of people that create web content” (2021).</w:t>
      </w:r>
      <w:r w:rsidR="0031024B" w:rsidRPr="00D13B67">
        <w:rPr>
          <w:rFonts w:eastAsia="Aptos"/>
        </w:rPr>
        <w:t xml:space="preserve"> </w:t>
      </w:r>
      <w:r w:rsidR="000837B1" w:rsidRPr="00D13B67">
        <w:rPr>
          <w:rFonts w:eastAsia="Aptos"/>
        </w:rPr>
        <w:t xml:space="preserve">Poorly enforced legislation intended to repair a system </w:t>
      </w:r>
      <w:r w:rsidR="00373973" w:rsidRPr="00D13B67">
        <w:rPr>
          <w:rFonts w:eastAsia="Aptos"/>
        </w:rPr>
        <w:t xml:space="preserve">overrun </w:t>
      </w:r>
      <w:r w:rsidR="00AB433C" w:rsidRPr="00D13B67">
        <w:rPr>
          <w:rFonts w:eastAsia="Aptos"/>
        </w:rPr>
        <w:t xml:space="preserve">by businesses interested in </w:t>
      </w:r>
      <w:r w:rsidR="003936A8" w:rsidRPr="00D13B67">
        <w:rPr>
          <w:rFonts w:eastAsia="Aptos"/>
        </w:rPr>
        <w:t xml:space="preserve">perpetual inaccessible content </w:t>
      </w:r>
      <w:r w:rsidR="002C2D14" w:rsidRPr="00D13B67">
        <w:rPr>
          <w:rFonts w:eastAsia="Aptos"/>
        </w:rPr>
        <w:t>is not sustainable, logical, or making tangible improvements for the experiences of disabled students.</w:t>
      </w:r>
      <w:r w:rsidR="000A215E" w:rsidRPr="00D13B67">
        <w:rPr>
          <w:rFonts w:eastAsia="Aptos"/>
        </w:rPr>
        <w:t xml:space="preserve"> Where inaccessible content exists, many become digital outcasts</w:t>
      </w:r>
      <w:r w:rsidR="00AB39EB" w:rsidRPr="00D13B67">
        <w:rPr>
          <w:rFonts w:eastAsia="Aptos"/>
        </w:rPr>
        <w:t>, those forgotten from the inevitable progress of technology (Smith, 2013).</w:t>
      </w:r>
      <w:r w:rsidR="000A215E" w:rsidRPr="00D13B67">
        <w:rPr>
          <w:rFonts w:eastAsia="Aptos"/>
        </w:rPr>
        <w:t xml:space="preserve"> </w:t>
      </w:r>
      <w:r w:rsidR="00384AAA" w:rsidRPr="00D13B67">
        <w:rPr>
          <w:rFonts w:eastAsia="Aptos"/>
        </w:rPr>
        <w:t>This work seeks to center those not considered and emphasize the value of accessible content.</w:t>
      </w:r>
    </w:p>
    <w:p w14:paraId="16804450" w14:textId="77777777" w:rsidR="4F44725A" w:rsidRPr="00D13B67" w:rsidRDefault="40D14AA8" w:rsidP="36910778">
      <w:pPr>
        <w:pStyle w:val="Heading2"/>
      </w:pPr>
      <w:bookmarkStart w:id="26" w:name="_Toc228867981"/>
      <w:r w:rsidRPr="00D13B67">
        <w:t xml:space="preserve">3 </w:t>
      </w:r>
      <w:r w:rsidR="4F44725A" w:rsidRPr="00D13B67">
        <w:t>Method</w:t>
      </w:r>
      <w:bookmarkEnd w:id="26"/>
    </w:p>
    <w:p w14:paraId="6D1789F0" w14:textId="6CF2DAC3" w:rsidR="004363BC" w:rsidRPr="00D13B67" w:rsidRDefault="008A75E8" w:rsidP="004363BC">
      <w:pPr>
        <w:pStyle w:val="Body"/>
      </w:pPr>
      <w:r w:rsidRPr="00D13B67">
        <w:t xml:space="preserve">The study of disability, as with the study of any marginalized group, requires </w:t>
      </w:r>
      <w:r w:rsidR="00F81235" w:rsidRPr="00D13B67">
        <w:t>deliberate</w:t>
      </w:r>
      <w:r w:rsidRPr="00D13B67">
        <w:t xml:space="preserve"> care.</w:t>
      </w:r>
      <w:r w:rsidR="00F81235" w:rsidRPr="00D13B67">
        <w:t xml:space="preserve"> </w:t>
      </w:r>
      <w:r w:rsidR="006502E2" w:rsidRPr="00D13B67">
        <w:t>R</w:t>
      </w:r>
      <w:r w:rsidR="00557B81" w:rsidRPr="00D13B67">
        <w:t xml:space="preserve">esearch </w:t>
      </w:r>
      <w:r w:rsidR="007F2CA1" w:rsidRPr="00D13B67">
        <w:t>can</w:t>
      </w:r>
      <w:r w:rsidR="00557B81" w:rsidRPr="00D13B67">
        <w:t xml:space="preserve"> be exploitive and extractive</w:t>
      </w:r>
      <w:r w:rsidR="007F2CA1" w:rsidRPr="00D13B67">
        <w:t xml:space="preserve">; </w:t>
      </w:r>
      <w:r w:rsidR="00557B81" w:rsidRPr="00D13B67">
        <w:t xml:space="preserve">historically disabled people </w:t>
      </w:r>
      <w:r w:rsidR="00557B81" w:rsidRPr="00D13B67">
        <w:lastRenderedPageBreak/>
        <w:t xml:space="preserve">have </w:t>
      </w:r>
      <w:r w:rsidR="007D181D" w:rsidRPr="00D13B67">
        <w:t>“been the objects of study but not the purveyors of the knowledge base of disability” (</w:t>
      </w:r>
      <w:r w:rsidR="00C23C0A" w:rsidRPr="00D13B67">
        <w:t>Snyder &amp; Mitchell, p. 198, 2006)</w:t>
      </w:r>
      <w:r w:rsidR="00186B24" w:rsidRPr="00D13B67">
        <w:t xml:space="preserve">. Disability research </w:t>
      </w:r>
      <w:r w:rsidR="007F2CA1" w:rsidRPr="00D13B67">
        <w:t>has</w:t>
      </w:r>
      <w:r w:rsidR="00186B24" w:rsidRPr="00D13B67">
        <w:t xml:space="preserve"> range</w:t>
      </w:r>
      <w:r w:rsidR="007F2CA1" w:rsidRPr="00D13B67">
        <w:t>d</w:t>
      </w:r>
      <w:r w:rsidR="00BF7F30" w:rsidRPr="00D13B67">
        <w:t xml:space="preserve"> from</w:t>
      </w:r>
      <w:r w:rsidR="00971FC8" w:rsidRPr="00D13B67">
        <w:t xml:space="preserve"> </w:t>
      </w:r>
      <w:r w:rsidR="007F2CA1" w:rsidRPr="00D13B67">
        <w:t>being merely</w:t>
      </w:r>
      <w:r w:rsidR="00BF7F30" w:rsidRPr="00D13B67">
        <w:t xml:space="preserve"> “irrelevant . . . and as failing to improve [disabled people’s] material circumstances and quality of life” to</w:t>
      </w:r>
      <w:r w:rsidR="00681DFB" w:rsidRPr="00D13B67">
        <w:t xml:space="preserve"> resembling</w:t>
      </w:r>
      <w:r w:rsidR="00BF7F30" w:rsidRPr="00D13B67">
        <w:t xml:space="preserve"> </w:t>
      </w:r>
      <w:r w:rsidR="00223691" w:rsidRPr="00D13B67">
        <w:t xml:space="preserve">a </w:t>
      </w:r>
      <w:r w:rsidR="006470B5" w:rsidRPr="00D13B67">
        <w:t>‘</w:t>
      </w:r>
      <w:r w:rsidR="00223691" w:rsidRPr="00D13B67">
        <w:t>rape model</w:t>
      </w:r>
      <w:r w:rsidR="006470B5" w:rsidRPr="00D13B67">
        <w:t>’</w:t>
      </w:r>
      <w:r w:rsidR="00223691" w:rsidRPr="00D13B67">
        <w:t xml:space="preserve"> of research in which researchers </w:t>
      </w:r>
      <w:r w:rsidR="00007860" w:rsidRPr="00D13B67">
        <w:t>extract findings and move on to their next project while disabled subjects experience no mean</w:t>
      </w:r>
      <w:r w:rsidR="00243368" w:rsidRPr="00D13B67">
        <w:t>ingful change</w:t>
      </w:r>
      <w:r w:rsidR="00186B24" w:rsidRPr="00D13B67">
        <w:t xml:space="preserve"> (Oliver, 1992, p. 105).</w:t>
      </w:r>
      <w:r w:rsidR="00243368" w:rsidRPr="00D13B67">
        <w:t xml:space="preserve"> </w:t>
      </w:r>
      <w:r w:rsidR="00697385" w:rsidRPr="00D13B67">
        <w:t xml:space="preserve">Costanza-Chock </w:t>
      </w:r>
      <w:r w:rsidR="0094243E" w:rsidRPr="00D13B67">
        <w:t>(2020)</w:t>
      </w:r>
      <w:r w:rsidR="00697385" w:rsidRPr="00D13B67">
        <w:t xml:space="preserve"> </w:t>
      </w:r>
      <w:r w:rsidR="003713FE" w:rsidRPr="00D13B67">
        <w:t xml:space="preserve">argues that </w:t>
      </w:r>
      <w:r w:rsidR="00346377" w:rsidRPr="00D13B67">
        <w:t>even collaborative research can be</w:t>
      </w:r>
      <w:r w:rsidR="00612C09" w:rsidRPr="00D13B67">
        <w:t xml:space="preserve"> extractive </w:t>
      </w:r>
      <w:r w:rsidR="002C0599" w:rsidRPr="00D13B67">
        <w:t>whe</w:t>
      </w:r>
      <w:r w:rsidR="00346377" w:rsidRPr="00D13B67">
        <w:t>n</w:t>
      </w:r>
      <w:r w:rsidR="002C0599" w:rsidRPr="00D13B67">
        <w:t xml:space="preserve"> </w:t>
      </w:r>
      <w:r w:rsidR="00612C09" w:rsidRPr="00D13B67">
        <w:t>research</w:t>
      </w:r>
      <w:r w:rsidR="002C0599" w:rsidRPr="00D13B67">
        <w:t>ers</w:t>
      </w:r>
      <w:r w:rsidR="00612C09" w:rsidRPr="00D13B67">
        <w:t xml:space="preserve"> obtain input from users </w:t>
      </w:r>
      <w:r w:rsidR="002C0599" w:rsidRPr="00D13B67">
        <w:t xml:space="preserve">who often do not receive any benefit. </w:t>
      </w:r>
      <w:r w:rsidR="00D9281C" w:rsidRPr="00D13B67">
        <w:t>Historically, able-bodied researchers</w:t>
      </w:r>
      <w:r w:rsidR="006470B5" w:rsidRPr="00D13B67">
        <w:t xml:space="preserve"> have</w:t>
      </w:r>
      <w:r w:rsidR="00D9281C" w:rsidRPr="00D13B67">
        <w:t xml:space="preserve"> extorted </w:t>
      </w:r>
      <w:r w:rsidR="00C84AE0" w:rsidRPr="00D13B67">
        <w:t>insights from disable</w:t>
      </w:r>
      <w:r w:rsidR="00D9281C" w:rsidRPr="00D13B67">
        <w:t>d</w:t>
      </w:r>
      <w:r w:rsidR="00C84AE0" w:rsidRPr="00D13B67">
        <w:t xml:space="preserve"> people’s experiences </w:t>
      </w:r>
      <w:r w:rsidR="00D9281C" w:rsidRPr="00D13B67">
        <w:t>to advance</w:t>
      </w:r>
      <w:r w:rsidR="00C84AE0" w:rsidRPr="00D13B67">
        <w:t xml:space="preserve"> the researchers</w:t>
      </w:r>
      <w:r w:rsidR="00E23220" w:rsidRPr="00D13B67">
        <w:t>’ career and</w:t>
      </w:r>
      <w:r w:rsidR="00C84AE0" w:rsidRPr="00D13B67">
        <w:t xml:space="preserve"> status</w:t>
      </w:r>
      <w:r w:rsidR="0058440B" w:rsidRPr="00D13B67">
        <w:t xml:space="preserve">, while disabled participants lives are left unchanged (Heng, 2019). When research is conducted in this manner, </w:t>
      </w:r>
      <w:r w:rsidR="003A76B1" w:rsidRPr="00D13B67">
        <w:t>disabled people may consider research “as part of the problem rather than as part of the solution (Oliver, 1992, p. 105).</w:t>
      </w:r>
      <w:r w:rsidR="002217E2" w:rsidRPr="00D13B67">
        <w:t xml:space="preserve"> While Charlton’s </w:t>
      </w:r>
      <w:r w:rsidR="00E23220" w:rsidRPr="00D13B67">
        <w:t xml:space="preserve">maxim of </w:t>
      </w:r>
      <w:r w:rsidR="002217E2" w:rsidRPr="00D13B67">
        <w:t xml:space="preserve">‘nothing about us without us’ </w:t>
      </w:r>
      <w:r w:rsidR="008359F6" w:rsidRPr="00D13B67">
        <w:t xml:space="preserve">calls for disabled people to be included, inclusion alone is not sufficient </w:t>
      </w:r>
      <w:r w:rsidR="00AA766D" w:rsidRPr="00D13B67">
        <w:t xml:space="preserve">(1998). </w:t>
      </w:r>
      <w:r w:rsidR="006470B5" w:rsidRPr="00D13B67">
        <w:t>These previous harms are a central concern</w:t>
      </w:r>
      <w:r w:rsidR="007231EA" w:rsidRPr="00D13B67">
        <w:t xml:space="preserve"> in shaping</w:t>
      </w:r>
      <w:r w:rsidR="006470B5" w:rsidRPr="00D13B67">
        <w:t xml:space="preserve"> the methods of this project.</w:t>
      </w:r>
    </w:p>
    <w:p w14:paraId="38603F5A" w14:textId="752D796C" w:rsidR="004363BC" w:rsidRPr="00D13B67" w:rsidRDefault="00820553" w:rsidP="00A317A5">
      <w:pPr>
        <w:pStyle w:val="Body"/>
      </w:pPr>
      <w:r w:rsidRPr="00D13B67">
        <w:t>As with</w:t>
      </w:r>
      <w:r w:rsidR="004363BC" w:rsidRPr="00D13B67">
        <w:t xml:space="preserve"> criticisms of disability research, Indigenous and decolonial scholars are particularly critical of traditional research methods. Decolonial methodology views traditional research methods as a conservative force intent on preserving the status quo (Denscombe, 2025). </w:t>
      </w:r>
      <w:r w:rsidR="00D379EC" w:rsidRPr="00D13B67">
        <w:t>Many scholars</w:t>
      </w:r>
      <w:r w:rsidR="004363BC" w:rsidRPr="00D13B67">
        <w:t xml:space="preserve"> note the extractive nature of traditional research methods where researchers appear, extract and appropriate knowledge, then leave (Kovach, 2010; Smith, 2012; Hayward et al., 2021). In </w:t>
      </w:r>
      <w:r w:rsidR="00D379EC" w:rsidRPr="00D13B67">
        <w:t xml:space="preserve">Linda Tuhiwai Smith’s </w:t>
      </w:r>
      <w:r w:rsidR="004363BC" w:rsidRPr="00D13B67">
        <w:t xml:space="preserve">words: “researchers enter communities armed with goodwill in their front pockets and patents in </w:t>
      </w:r>
      <w:r w:rsidR="004363BC" w:rsidRPr="00D13B67">
        <w:lastRenderedPageBreak/>
        <w:t xml:space="preserve">their back pockets, they bring medicine into villages and extract blood for genetic analysis” (2012, p. 24). </w:t>
      </w:r>
      <w:r w:rsidR="002C382F" w:rsidRPr="00D13B67">
        <w:t xml:space="preserve">The seizure of Indigenous knowledge </w:t>
      </w:r>
      <w:r w:rsidR="00F36189" w:rsidRPr="00D13B67">
        <w:t xml:space="preserve">in traditional research methods has done irreparable harm to those communities (Tuck &amp; Yang, 2013). </w:t>
      </w:r>
      <w:r w:rsidR="004363BC" w:rsidRPr="00D13B67">
        <w:t xml:space="preserve">More systematically, traditional research in colonial settings was not motivated by any intention of improving the lives of the studied and colonized, instead research was often used to improve methods of oppression (Denscombe, 2025). Storytelling, central to many Indigenous cultures, is emphasized in some Indigenous methodologies (Kovach, 2010; Kovach, 2018). In many types of research, it is important to note that the participants are experts in their own lived experience. As with many critical fields, Indigenous and decolonial methodologies emphasize the need for research to make positive change for the studied communities (Hayward et al., 2021; Denscombe, 2025). The harm of traditional research practices to marginalized, colonized, and racialized groups cannot be understated, nor can it be undone. </w:t>
      </w:r>
      <w:r w:rsidR="00A317A5" w:rsidRPr="00D13B67">
        <w:t xml:space="preserve">Meaningful inclusion and engagement </w:t>
      </w:r>
      <w:r w:rsidR="002F10FB" w:rsidRPr="00D13B67">
        <w:t>are</w:t>
      </w:r>
      <w:r w:rsidR="00A317A5" w:rsidRPr="00D13B67">
        <w:t xml:space="preserve"> key to creating new knowledge that</w:t>
      </w:r>
      <w:r w:rsidR="004363BC" w:rsidRPr="00D13B67">
        <w:t xml:space="preserve"> is </w:t>
      </w:r>
      <w:r w:rsidR="00771A95" w:rsidRPr="00D13B67">
        <w:t>authentic</w:t>
      </w:r>
      <w:r w:rsidR="004363BC" w:rsidRPr="00D13B67">
        <w:t>, less extractive, and imparts positive change on the studied communities.</w:t>
      </w:r>
    </w:p>
    <w:p w14:paraId="59141472" w14:textId="4ADF9669" w:rsidR="00195136" w:rsidRPr="00D13B67" w:rsidRDefault="001E5018" w:rsidP="00273394">
      <w:pPr>
        <w:pStyle w:val="Body"/>
      </w:pPr>
      <w:r w:rsidRPr="00D13B67">
        <w:t xml:space="preserve">Tanya </w:t>
      </w:r>
      <w:proofErr w:type="spellStart"/>
      <w:r w:rsidR="00E9600A" w:rsidRPr="00D13B67">
        <w:t>Titchkosky’s</w:t>
      </w:r>
      <w:proofErr w:type="spellEnd"/>
      <w:r w:rsidR="00E9600A" w:rsidRPr="00D13B67">
        <w:t xml:space="preserve"> </w:t>
      </w:r>
      <w:r w:rsidR="0094243E" w:rsidRPr="00D13B67">
        <w:t>(2011)</w:t>
      </w:r>
      <w:r w:rsidR="00E9600A" w:rsidRPr="00D13B67">
        <w:t xml:space="preserve"> </w:t>
      </w:r>
      <w:r w:rsidR="00E40068" w:rsidRPr="00D13B67">
        <w:rPr>
          <w:i/>
          <w:iCs/>
        </w:rPr>
        <w:t>The Question of Access</w:t>
      </w:r>
      <w:r w:rsidR="00E40068" w:rsidRPr="00D13B67">
        <w:t xml:space="preserve"> </w:t>
      </w:r>
      <w:r w:rsidR="008D5F9A" w:rsidRPr="00D13B67">
        <w:t xml:space="preserve">implores </w:t>
      </w:r>
      <w:r w:rsidR="00E16457" w:rsidRPr="00D13B67">
        <w:t>disability studies research to move beyond asking why society disables people to</w:t>
      </w:r>
      <w:r w:rsidR="00DB4D16" w:rsidRPr="00D13B67">
        <w:t xml:space="preserve"> ask</w:t>
      </w:r>
      <w:r w:rsidR="007231EA" w:rsidRPr="00D13B67">
        <w:t>ing</w:t>
      </w:r>
      <w:r w:rsidR="00E16457" w:rsidRPr="00D13B67">
        <w:t xml:space="preserve"> </w:t>
      </w:r>
      <w:r w:rsidR="00E16457" w:rsidRPr="00D13B67">
        <w:rPr>
          <w:i/>
        </w:rPr>
        <w:t>how</w:t>
      </w:r>
      <w:r w:rsidR="00DB4D16" w:rsidRPr="00D13B67">
        <w:t xml:space="preserve"> it does so</w:t>
      </w:r>
      <w:r w:rsidR="00E16457" w:rsidRPr="00D13B67">
        <w:t>.</w:t>
      </w:r>
      <w:r w:rsidR="00B34DB4" w:rsidRPr="00D13B67">
        <w:t xml:space="preserve"> </w:t>
      </w:r>
      <w:r w:rsidR="003B5CC5" w:rsidRPr="00D13B67">
        <w:t>This</w:t>
      </w:r>
      <w:r w:rsidR="006B341B" w:rsidRPr="00D13B67">
        <w:t xml:space="preserve"> shift</w:t>
      </w:r>
      <w:r w:rsidR="003B5CC5" w:rsidRPr="00D13B67">
        <w:t xml:space="preserve">, </w:t>
      </w:r>
      <w:proofErr w:type="spellStart"/>
      <w:r w:rsidR="003B5CC5" w:rsidRPr="00D13B67">
        <w:t>Titchkosky</w:t>
      </w:r>
      <w:proofErr w:type="spellEnd"/>
      <w:r w:rsidR="003B5CC5" w:rsidRPr="00D13B67">
        <w:t xml:space="preserve"> posits, is necessary to </w:t>
      </w:r>
      <w:r w:rsidR="00186D69" w:rsidRPr="00D13B67">
        <w:t>meaningfully improve</w:t>
      </w:r>
      <w:r w:rsidR="003B5CC5" w:rsidRPr="00D13B67">
        <w:t xml:space="preserve"> disabled people’s lives </w:t>
      </w:r>
      <w:r w:rsidR="00BF0686">
        <w:t>because</w:t>
      </w:r>
      <w:r w:rsidR="003B5CC5" w:rsidRPr="00D13B67">
        <w:t xml:space="preserve"> explaining what is</w:t>
      </w:r>
      <w:r w:rsidR="00186D69" w:rsidRPr="00D13B67">
        <w:t xml:space="preserve"> </w:t>
      </w:r>
      <w:r w:rsidR="003B5CC5" w:rsidRPr="00D13B67">
        <w:t xml:space="preserve">only reaffirms the status quo. </w:t>
      </w:r>
      <w:r w:rsidR="00325CD3" w:rsidRPr="00D13B67">
        <w:t>Understanding how disability ha</w:t>
      </w:r>
      <w:r w:rsidR="00BB1C66" w:rsidRPr="00D13B67">
        <w:t>s</w:t>
      </w:r>
      <w:r w:rsidR="00325CD3" w:rsidRPr="00D13B67">
        <w:t xml:space="preserve"> been labelled problems is a significant factor in</w:t>
      </w:r>
      <w:r w:rsidR="005A532B" w:rsidRPr="00D13B67">
        <w:t xml:space="preserve"> improving the lives of disabled people. Exploring how digital learning material excludes disabled students must be accompanied by an understanding of</w:t>
      </w:r>
      <w:r w:rsidR="008117A5" w:rsidRPr="00D13B67">
        <w:t xml:space="preserve"> how post-secondary institutions exclude.</w:t>
      </w:r>
      <w:r w:rsidR="003B5CC5" w:rsidRPr="00D13B67">
        <w:t xml:space="preserve"> </w:t>
      </w:r>
      <w:r w:rsidR="00B34DB4" w:rsidRPr="00D13B67">
        <w:t xml:space="preserve">Moving from why to how “puts the identification of problems, the explanation of said problems, and the </w:t>
      </w:r>
      <w:r w:rsidR="00B34DB4" w:rsidRPr="00D13B67">
        <w:lastRenderedPageBreak/>
        <w:t>development of solutions on the same level” (p. 17).</w:t>
      </w:r>
      <w:r w:rsidR="00097F43" w:rsidRPr="00D13B67">
        <w:t xml:space="preserve"> </w:t>
      </w:r>
      <w:r w:rsidR="008117A5" w:rsidRPr="00D13B67">
        <w:t xml:space="preserve">The co-designers of this researcher project </w:t>
      </w:r>
      <w:r w:rsidR="0026234A" w:rsidRPr="00D13B67">
        <w:t xml:space="preserve">will identify the problems, while my experience in digital accessibility will explain </w:t>
      </w:r>
      <w:r w:rsidR="00FD28F3" w:rsidRPr="00D13B67">
        <w:t xml:space="preserve">said problems, with </w:t>
      </w:r>
      <w:r w:rsidR="00BB1C66" w:rsidRPr="00D13B67">
        <w:t>everyone</w:t>
      </w:r>
      <w:r w:rsidR="003938B6" w:rsidRPr="00D13B67">
        <w:t xml:space="preserve"> (including post-secondary </w:t>
      </w:r>
      <w:r w:rsidR="00FD28F3" w:rsidRPr="00D13B67">
        <w:t>instructors and staff</w:t>
      </w:r>
      <w:r w:rsidR="003938B6" w:rsidRPr="00D13B67">
        <w:t>)</w:t>
      </w:r>
      <w:r w:rsidR="00FD28F3" w:rsidRPr="00D13B67">
        <w:t xml:space="preserve"> contributing feasible solutions to the problems. </w:t>
      </w:r>
      <w:r w:rsidR="00097F43" w:rsidRPr="00D13B67">
        <w:t>The purpose of this work is not to document the ways in which and why post-secondary disables some students; the aim of this research is to understand specifically how inaccessible digital learning material disables some students and how to create more accessible and inclusive learning environments.</w:t>
      </w:r>
      <w:r w:rsidR="00B34DB4" w:rsidRPr="00D13B67">
        <w:t xml:space="preserve"> </w:t>
      </w:r>
      <w:r w:rsidR="00A84F27" w:rsidRPr="00D13B67">
        <w:t>To ensure this research is not extractive</w:t>
      </w:r>
      <w:r w:rsidR="00097F43" w:rsidRPr="00D13B67">
        <w:t>,</w:t>
      </w:r>
      <w:r w:rsidR="00A84F27" w:rsidRPr="00D13B67">
        <w:t xml:space="preserve"> the principles of inclusive design and collaborat</w:t>
      </w:r>
      <w:r w:rsidR="00097F43" w:rsidRPr="00D13B67">
        <w:t>ive design</w:t>
      </w:r>
      <w:r w:rsidR="00A84F27" w:rsidRPr="00D13B67">
        <w:t xml:space="preserve"> </w:t>
      </w:r>
      <w:r w:rsidR="00981CCB" w:rsidRPr="00D13B67">
        <w:t>form</w:t>
      </w:r>
      <w:r w:rsidR="00A84F27" w:rsidRPr="00D13B67">
        <w:t xml:space="preserve"> the foundation of this work. </w:t>
      </w:r>
      <w:r w:rsidR="00981CCB" w:rsidRPr="00D13B67">
        <w:t>Additionally, t</w:t>
      </w:r>
      <w:r w:rsidR="00A84F27" w:rsidRPr="00D13B67">
        <w:t>o ensure disabled students</w:t>
      </w:r>
      <w:r w:rsidR="00981CCB" w:rsidRPr="00D13B67">
        <w:t>’</w:t>
      </w:r>
      <w:r w:rsidR="00A84F27" w:rsidRPr="00D13B67">
        <w:t xml:space="preserve"> experiences are </w:t>
      </w:r>
      <w:r w:rsidR="00981CCB" w:rsidRPr="00D13B67">
        <w:t>improved by this</w:t>
      </w:r>
      <w:r w:rsidR="00A84F27" w:rsidRPr="00D13B67">
        <w:t xml:space="preserve">, the action research model is employed to </w:t>
      </w:r>
      <w:r w:rsidR="0036064B" w:rsidRPr="00D13B67">
        <w:t>bring about tangible and meaningful change</w:t>
      </w:r>
      <w:r w:rsidR="00A84F27" w:rsidRPr="00D13B67">
        <w:t>.</w:t>
      </w:r>
    </w:p>
    <w:p w14:paraId="34E98710" w14:textId="1D8158F7" w:rsidR="7A70F0E4" w:rsidRPr="00D13B67" w:rsidRDefault="00CD77CE" w:rsidP="00DA269D">
      <w:pPr>
        <w:pStyle w:val="Heading3"/>
      </w:pPr>
      <w:bookmarkStart w:id="27" w:name="_Toc228867982"/>
      <w:r w:rsidRPr="00D13B67">
        <w:t xml:space="preserve">3.1 </w:t>
      </w:r>
      <w:r w:rsidR="007F45F4" w:rsidRPr="00D13B67">
        <w:t>Methodology</w:t>
      </w:r>
      <w:bookmarkEnd w:id="27"/>
    </w:p>
    <w:p w14:paraId="02F1156B" w14:textId="249CD170" w:rsidR="00F52698" w:rsidRPr="00D13B67" w:rsidRDefault="00BC3984" w:rsidP="7A70F0E4">
      <w:pPr>
        <w:pStyle w:val="Heading4"/>
      </w:pPr>
      <w:bookmarkStart w:id="28" w:name="_Toc228867983"/>
      <w:r w:rsidRPr="00D13B67">
        <w:t xml:space="preserve">3.1.1 </w:t>
      </w:r>
      <w:r w:rsidR="00F52698" w:rsidRPr="00D13B67">
        <w:t>Inclusive Design</w:t>
      </w:r>
      <w:bookmarkEnd w:id="28"/>
    </w:p>
    <w:p w14:paraId="1A3B8350" w14:textId="1EA39412" w:rsidR="00E257D4" w:rsidRPr="00D13B67" w:rsidRDefault="00E257D4" w:rsidP="00E257D4">
      <w:pPr>
        <w:pStyle w:val="Body"/>
      </w:pPr>
      <w:r w:rsidRPr="00D13B67">
        <w:t>The Inclusive Design Research Centre (IDRC) defines inclusive design as a process that recognizes diversity and uniqueness, uses inclusive processes and tools, and emphasizes the broader beneficial impact of design solutions regardless of intended audience.</w:t>
      </w:r>
      <w:r w:rsidR="000568C2" w:rsidRPr="00D13B67">
        <w:t xml:space="preserve"> Inclusive design </w:t>
      </w:r>
      <w:r w:rsidR="001C0139" w:rsidRPr="00D13B67">
        <w:t xml:space="preserve">is an essential tool to address the mismatch between disabled </w:t>
      </w:r>
      <w:r w:rsidR="007A321A" w:rsidRPr="00D13B67">
        <w:t>students’</w:t>
      </w:r>
      <w:r w:rsidR="001C0139" w:rsidRPr="00D13B67">
        <w:t xml:space="preserve"> needs and the design of digital learning material. </w:t>
      </w:r>
    </w:p>
    <w:p w14:paraId="4FF12716" w14:textId="77777777" w:rsidR="07092EF7" w:rsidRPr="00D13B67" w:rsidRDefault="07092EF7" w:rsidP="00F52698">
      <w:pPr>
        <w:pStyle w:val="Heading5"/>
      </w:pPr>
      <w:r w:rsidRPr="00D13B67">
        <w:t>Mismatch</w:t>
      </w:r>
    </w:p>
    <w:p w14:paraId="7175534D" w14:textId="395D7498" w:rsidR="000568C2" w:rsidRPr="00D13B67" w:rsidRDefault="000568C2" w:rsidP="000568C2">
      <w:pPr>
        <w:pStyle w:val="Body"/>
      </w:pPr>
      <w:r w:rsidRPr="00D13B67">
        <w:t>Traditional design methods</w:t>
      </w:r>
      <w:r w:rsidR="00CB2806" w:rsidRPr="00D13B67">
        <w:t xml:space="preserve"> create and</w:t>
      </w:r>
      <w:r w:rsidRPr="00D13B67">
        <w:t xml:space="preserve"> perpetuate mismatch</w:t>
      </w:r>
      <w:r w:rsidR="00CB2806" w:rsidRPr="00D13B67">
        <w:t>es</w:t>
      </w:r>
      <w:r w:rsidRPr="00D13B67">
        <w:t xml:space="preserve"> between the design of objects, buildings, meetings, and things and the diverse range of the ways human beings interact with them. A significant </w:t>
      </w:r>
      <w:r w:rsidR="00B55579" w:rsidRPr="00D13B67">
        <w:t>early</w:t>
      </w:r>
      <w:r w:rsidRPr="00D13B67">
        <w:t xml:space="preserve"> influence on the design of consumer products was </w:t>
      </w:r>
      <w:r w:rsidRPr="00D13B67">
        <w:lastRenderedPageBreak/>
        <w:t xml:space="preserve">Henry Dreyfuss’s 1967 </w:t>
      </w:r>
      <w:r w:rsidRPr="00D13B67">
        <w:rPr>
          <w:i/>
          <w:iCs/>
        </w:rPr>
        <w:t xml:space="preserve">The Measure of Man. </w:t>
      </w:r>
      <w:r w:rsidRPr="00D13B67">
        <w:t xml:space="preserve">This work introduced anthropometrics which focused on the average physical dimensions of humans (Cassim et al., 2007). </w:t>
      </w:r>
      <w:r w:rsidR="00CB2806" w:rsidRPr="00D13B67">
        <w:t>A</w:t>
      </w:r>
      <w:r w:rsidRPr="00D13B67">
        <w:t xml:space="preserve">ssumptions about </w:t>
      </w:r>
      <w:r w:rsidR="00CB2806" w:rsidRPr="00D13B67">
        <w:t xml:space="preserve">what constitutes </w:t>
      </w:r>
      <w:r w:rsidRPr="00D13B67">
        <w:t xml:space="preserve">the ‘average’ human excludes many. </w:t>
      </w:r>
      <w:r w:rsidR="007A321A" w:rsidRPr="00D13B67">
        <w:t>However,</w:t>
      </w:r>
      <w:r w:rsidR="00CB2806" w:rsidRPr="00D13B67">
        <w:t xml:space="preserve"> </w:t>
      </w:r>
      <w:r w:rsidRPr="00D13B67">
        <w:t xml:space="preserve">the mismatch between </w:t>
      </w:r>
      <w:r w:rsidR="00CB2806" w:rsidRPr="00D13B67">
        <w:t>users’</w:t>
      </w:r>
      <w:r w:rsidRPr="00D13B67">
        <w:t xml:space="preserve"> needs and </w:t>
      </w:r>
      <w:r w:rsidR="00CB2806" w:rsidRPr="00D13B67">
        <w:t xml:space="preserve">a </w:t>
      </w:r>
      <w:r w:rsidRPr="00D13B67">
        <w:t>final design was considered irrelevant as those most excluded were older and disabled people who were perceived to not contribute or consume. This prejudice slowly changed, particularly in tandem with the disability rights movement (</w:t>
      </w:r>
      <w:r w:rsidR="00121D0B" w:rsidRPr="00D13B67">
        <w:t xml:space="preserve">as </w:t>
      </w:r>
      <w:r w:rsidRPr="00D13B67">
        <w:t>discussed in section 2.2.1). The ethical necessity of equal rights, alongside the realization that the disabled and elderly were active members of society and the economy, spurred designers and producers to consider their access needs. This led to early iterations of inclusive design which advocated for “a transference of responsibility from the user of design</w:t>
      </w:r>
      <w:r w:rsidRPr="00D13B67">
        <w:rPr>
          <w:rFonts w:ascii="Aptos" w:eastAsia="Aptos" w:hAnsi="Aptos" w:cs="Aptos"/>
        </w:rPr>
        <w:t xml:space="preserve"> – be it product, service or environment – to the design process itself” (p. 13). This transference requires an understanding of the mismatch between user needs and design.</w:t>
      </w:r>
    </w:p>
    <w:p w14:paraId="3D09A8C9" w14:textId="643D6809" w:rsidR="008554AD" w:rsidRPr="00D13B67" w:rsidRDefault="000568C2" w:rsidP="000568C2">
      <w:pPr>
        <w:pStyle w:val="Body"/>
      </w:pPr>
      <w:r w:rsidRPr="00D13B67">
        <w:t xml:space="preserve">Keates </w:t>
      </w:r>
      <w:r w:rsidR="00F7527A" w:rsidRPr="00D13B67">
        <w:t>&amp;</w:t>
      </w:r>
      <w:r w:rsidRPr="00D13B67">
        <w:t xml:space="preserve"> Clarkson </w:t>
      </w:r>
      <w:r w:rsidR="00121D0B" w:rsidRPr="00D13B67">
        <w:t>(2002)</w:t>
      </w:r>
      <w:r w:rsidR="00B17D82" w:rsidRPr="00D13B67">
        <w:t xml:space="preserve"> argue that </w:t>
      </w:r>
      <w:r w:rsidR="006D4924" w:rsidRPr="00D13B67">
        <w:t>when the features of a product place</w:t>
      </w:r>
      <w:r w:rsidR="00CC5272" w:rsidRPr="00D13B67">
        <w:t xml:space="preserve"> undue capability </w:t>
      </w:r>
      <w:proofErr w:type="gramStart"/>
      <w:r w:rsidR="00CC5272" w:rsidRPr="00D13B67">
        <w:t>demands</w:t>
      </w:r>
      <w:proofErr w:type="gramEnd"/>
      <w:r w:rsidR="00CC5272" w:rsidRPr="00D13B67">
        <w:t xml:space="preserve"> on a user, </w:t>
      </w:r>
      <w:r w:rsidR="009C353B" w:rsidRPr="00D13B67">
        <w:t xml:space="preserve">problems using the product </w:t>
      </w:r>
      <w:r w:rsidR="003622A3" w:rsidRPr="00D13B67">
        <w:t>come from</w:t>
      </w:r>
      <w:r w:rsidR="009C353B" w:rsidRPr="00D13B67">
        <w:t xml:space="preserve"> the poor design, not the user</w:t>
      </w:r>
      <w:r w:rsidRPr="00D13B67">
        <w:t>.</w:t>
      </w:r>
      <w:r w:rsidR="002B217F" w:rsidRPr="00D13B67">
        <w:t xml:space="preserve"> The poor design is mismatched </w:t>
      </w:r>
      <w:r w:rsidR="00E572C3" w:rsidRPr="00D13B67">
        <w:t>with</w:t>
      </w:r>
      <w:r w:rsidR="002B217F" w:rsidRPr="00D13B67">
        <w:t xml:space="preserve"> user</w:t>
      </w:r>
      <w:r w:rsidR="00DF6CC4" w:rsidRPr="00D13B67">
        <w:t xml:space="preserve"> capabilities, habits, or needs.</w:t>
      </w:r>
      <w:r w:rsidR="00013569" w:rsidRPr="00D13B67">
        <w:t xml:space="preserve"> </w:t>
      </w:r>
      <w:r w:rsidR="00974845" w:rsidRPr="00D13B67">
        <w:t xml:space="preserve">Where the </w:t>
      </w:r>
      <w:r w:rsidR="005842CA" w:rsidRPr="00D13B67">
        <w:t>requirements to use a product are “over and above those required for the task itself</w:t>
      </w:r>
      <w:r w:rsidR="00106688" w:rsidRPr="00D13B67">
        <w:t xml:space="preserve"> . . . the user can be considered to have been disabled by the equipment</w:t>
      </w:r>
      <w:r w:rsidR="00D954E4" w:rsidRPr="00D13B67">
        <w:t>”</w:t>
      </w:r>
      <w:r w:rsidR="00106688" w:rsidRPr="00D13B67">
        <w:t xml:space="preserve"> (</w:t>
      </w:r>
      <w:r w:rsidRPr="00D13B67">
        <w:t>p.</w:t>
      </w:r>
      <w:r w:rsidR="00106688" w:rsidRPr="00D13B67">
        <w:t xml:space="preserve"> 27).</w:t>
      </w:r>
      <w:r w:rsidR="00513D74" w:rsidRPr="00D13B67">
        <w:t xml:space="preserve"> For</w:t>
      </w:r>
      <w:r w:rsidR="00704A68" w:rsidRPr="00D13B67">
        <w:t xml:space="preserve"> example, a scanned copy of a book</w:t>
      </w:r>
      <w:r w:rsidR="002C6DE6" w:rsidRPr="00D13B67">
        <w:t xml:space="preserve"> is not machine readable and thus screen reader users cannot access the content, text to speech tool users cannot use their necessary technology, readers with low vision cannot increase the font size or contrast, and all readers will struggle with the low quality of the text. </w:t>
      </w:r>
      <w:r w:rsidR="004D4C0A" w:rsidRPr="00D13B67">
        <w:t>All</w:t>
      </w:r>
      <w:r w:rsidR="002C6DE6" w:rsidRPr="00D13B67">
        <w:t xml:space="preserve"> the decisions that went into the design </w:t>
      </w:r>
      <w:r w:rsidR="009F3A9B" w:rsidRPr="00D13B67">
        <w:t xml:space="preserve">of that </w:t>
      </w:r>
      <w:r w:rsidR="009F3A9B" w:rsidRPr="00D13B67">
        <w:lastRenderedPageBreak/>
        <w:t>hypothetical reading material disable learners, forcing them into workarounds or to miss out entirely.</w:t>
      </w:r>
    </w:p>
    <w:p w14:paraId="369CEB94" w14:textId="77777777" w:rsidR="005F640D" w:rsidRPr="00D13B67" w:rsidRDefault="003B41A3" w:rsidP="005F640D">
      <w:pPr>
        <w:pStyle w:val="Body"/>
      </w:pPr>
      <w:r w:rsidRPr="00D13B67">
        <w:t>These types of design decisions</w:t>
      </w:r>
      <w:r w:rsidR="00575070" w:rsidRPr="00D13B67">
        <w:t xml:space="preserve">, according to </w:t>
      </w:r>
      <w:r w:rsidR="008E27F3" w:rsidRPr="00D13B67">
        <w:t xml:space="preserve">Roger </w:t>
      </w:r>
      <w:r w:rsidR="00575070" w:rsidRPr="00D13B67">
        <w:t>Coleman</w:t>
      </w:r>
      <w:r w:rsidR="00294017" w:rsidRPr="00D13B67">
        <w:t xml:space="preserve">, </w:t>
      </w:r>
      <w:r w:rsidR="001B2043" w:rsidRPr="00D13B67">
        <w:t>contribute</w:t>
      </w:r>
      <w:r w:rsidR="004C6A60" w:rsidRPr="00D13B67">
        <w:t xml:space="preserve"> to scenarios in which </w:t>
      </w:r>
      <w:r w:rsidR="00ED101C" w:rsidRPr="00D13B67">
        <w:t>“people are increasingly disabled by a mismatch between the environment they live in—buildings, products, and services—and their own changing capabilities</w:t>
      </w:r>
      <w:r w:rsidR="00EC287C" w:rsidRPr="00D13B67">
        <w:t>” or</w:t>
      </w:r>
      <w:r w:rsidR="00A722A4" w:rsidRPr="00D13B67">
        <w:t>, more succinctly,</w:t>
      </w:r>
      <w:r w:rsidR="00EC287C" w:rsidRPr="00D13B67">
        <w:t xml:space="preserve"> where people are “disabled by design” (2001, section 4.2).</w:t>
      </w:r>
      <w:r w:rsidR="00286CB2" w:rsidRPr="00D13B67">
        <w:t xml:space="preserve"> Following this</w:t>
      </w:r>
      <w:r w:rsidR="003652CD" w:rsidRPr="00D13B67">
        <w:t xml:space="preserve"> logic</w:t>
      </w:r>
      <w:r w:rsidR="00286CB2" w:rsidRPr="00D13B67">
        <w:t xml:space="preserve">, there are no disabled students, only students disabled by </w:t>
      </w:r>
      <w:r w:rsidR="003652CD" w:rsidRPr="00D13B67">
        <w:t>inaccessible digital learning material.</w:t>
      </w:r>
      <w:r w:rsidR="005F640D" w:rsidRPr="00D13B67">
        <w:t xml:space="preserve"> The mismatch between the design of something and how it is used disables people.</w:t>
      </w:r>
    </w:p>
    <w:p w14:paraId="3D066E53" w14:textId="47BE7054" w:rsidR="003F05F5" w:rsidRPr="00D13B67" w:rsidRDefault="00416A36" w:rsidP="003F05F5">
      <w:pPr>
        <w:pStyle w:val="Body"/>
        <w:rPr>
          <w:rFonts w:eastAsia="Aptos"/>
        </w:rPr>
      </w:pPr>
      <w:r w:rsidRPr="00D13B67">
        <w:rPr>
          <w:rFonts w:eastAsia="Aptos"/>
        </w:rPr>
        <w:t xml:space="preserve">Holmes </w:t>
      </w:r>
      <w:r w:rsidR="0013711F" w:rsidRPr="00D13B67">
        <w:rPr>
          <w:rFonts w:eastAsia="Aptos"/>
        </w:rPr>
        <w:t xml:space="preserve">(2018) </w:t>
      </w:r>
      <w:r w:rsidR="005F640D" w:rsidRPr="00D13B67">
        <w:rPr>
          <w:rFonts w:eastAsia="Aptos"/>
        </w:rPr>
        <w:t>focused on</w:t>
      </w:r>
      <w:r w:rsidR="008577E6" w:rsidRPr="00D13B67">
        <w:rPr>
          <w:rFonts w:eastAsia="Aptos"/>
        </w:rPr>
        <w:t xml:space="preserve"> mismatch </w:t>
      </w:r>
      <w:r w:rsidR="005F640D" w:rsidRPr="00D13B67">
        <w:rPr>
          <w:rFonts w:eastAsia="Aptos"/>
        </w:rPr>
        <w:t xml:space="preserve">as </w:t>
      </w:r>
      <w:r w:rsidR="008577E6" w:rsidRPr="00D13B67">
        <w:rPr>
          <w:rFonts w:eastAsia="Aptos"/>
        </w:rPr>
        <w:t xml:space="preserve">“a byproduct of how our world is designed” (p. 2) </w:t>
      </w:r>
      <w:r w:rsidR="00A35942" w:rsidRPr="00D13B67">
        <w:rPr>
          <w:rFonts w:eastAsia="Aptos"/>
        </w:rPr>
        <w:t>which forces people “to adapt themselves to make object</w:t>
      </w:r>
      <w:r w:rsidR="005F640D" w:rsidRPr="00D13B67">
        <w:rPr>
          <w:rFonts w:eastAsia="Aptos"/>
        </w:rPr>
        <w:t>s</w:t>
      </w:r>
      <w:r w:rsidR="00A35942" w:rsidRPr="00D13B67">
        <w:rPr>
          <w:rFonts w:eastAsia="Aptos"/>
        </w:rPr>
        <w:t xml:space="preserve"> work” (p. 6). Holmes, like Coleman and Keates &amp; Clarkson, recognizes that disability is caused by mismatch.</w:t>
      </w:r>
      <w:r w:rsidR="00BB48F1" w:rsidRPr="00D13B67">
        <w:rPr>
          <w:rFonts w:eastAsia="Aptos"/>
        </w:rPr>
        <w:t xml:space="preserve"> </w:t>
      </w:r>
      <w:r w:rsidR="006B11AC" w:rsidRPr="00D13B67">
        <w:rPr>
          <w:rFonts w:eastAsia="Aptos"/>
        </w:rPr>
        <w:t xml:space="preserve">The importance </w:t>
      </w:r>
      <w:r w:rsidR="00AE6D83" w:rsidRPr="00D13B67">
        <w:rPr>
          <w:rFonts w:eastAsia="Aptos"/>
        </w:rPr>
        <w:t>for</w:t>
      </w:r>
      <w:r w:rsidR="006B11AC" w:rsidRPr="00D13B67">
        <w:rPr>
          <w:rFonts w:eastAsia="Aptos"/>
        </w:rPr>
        <w:t xml:space="preserve"> designers and design thinking to avoid creating mismatches is key to more inclusive futures</w:t>
      </w:r>
      <w:r w:rsidR="00F835C8" w:rsidRPr="00D13B67">
        <w:rPr>
          <w:rFonts w:eastAsia="Aptos"/>
        </w:rPr>
        <w:t>; “the people who design the touchpoints of society determine who can participate and who’s left out” (p. 6).</w:t>
      </w:r>
      <w:r w:rsidR="008C68D0" w:rsidRPr="00D13B67">
        <w:rPr>
          <w:rFonts w:eastAsia="Aptos"/>
        </w:rPr>
        <w:t xml:space="preserve"> As the world, particularly technology and education, is in constant flux and evolution, the need to change inclusively may be forgotten; a</w:t>
      </w:r>
      <w:r w:rsidR="00586654" w:rsidRPr="00D13B67">
        <w:rPr>
          <w:rFonts w:eastAsia="Aptos"/>
        </w:rPr>
        <w:t xml:space="preserve">s </w:t>
      </w:r>
      <w:r w:rsidR="007421C8" w:rsidRPr="00D13B67">
        <w:rPr>
          <w:rFonts w:eastAsia="Aptos"/>
        </w:rPr>
        <w:t xml:space="preserve">Swan </w:t>
      </w:r>
      <w:r w:rsidR="00800A10" w:rsidRPr="00D13B67">
        <w:rPr>
          <w:rFonts w:eastAsia="Aptos"/>
        </w:rPr>
        <w:t xml:space="preserve">(2025) </w:t>
      </w:r>
      <w:r w:rsidR="007421C8" w:rsidRPr="00D13B67">
        <w:rPr>
          <w:rFonts w:eastAsia="Aptos"/>
        </w:rPr>
        <w:t>writes, “innovation isn’t valuable if it creates barriers or complexity</w:t>
      </w:r>
      <w:r w:rsidR="00800A10" w:rsidRPr="00D13B67">
        <w:rPr>
          <w:rFonts w:eastAsia="Aptos"/>
        </w:rPr>
        <w:t>”</w:t>
      </w:r>
      <w:r w:rsidR="007421C8" w:rsidRPr="00D13B67">
        <w:rPr>
          <w:rFonts w:eastAsia="Aptos"/>
        </w:rPr>
        <w:t xml:space="preserve">. </w:t>
      </w:r>
      <w:r w:rsidR="00F835C8" w:rsidRPr="00D13B67">
        <w:rPr>
          <w:rFonts w:eastAsia="Aptos"/>
        </w:rPr>
        <w:t xml:space="preserve">The design, </w:t>
      </w:r>
      <w:r w:rsidR="000D27C3" w:rsidRPr="00D13B67">
        <w:rPr>
          <w:rFonts w:eastAsia="Aptos"/>
        </w:rPr>
        <w:t xml:space="preserve">ongoing </w:t>
      </w:r>
      <w:r w:rsidR="00F835C8" w:rsidRPr="00D13B67">
        <w:rPr>
          <w:rFonts w:eastAsia="Aptos"/>
        </w:rPr>
        <w:t xml:space="preserve">maintenance, </w:t>
      </w:r>
      <w:r w:rsidR="000D27C3" w:rsidRPr="00D13B67">
        <w:rPr>
          <w:rFonts w:eastAsia="Aptos"/>
        </w:rPr>
        <w:t xml:space="preserve">and </w:t>
      </w:r>
      <w:r w:rsidR="00F835C8" w:rsidRPr="00D13B67">
        <w:rPr>
          <w:rFonts w:eastAsia="Aptos"/>
        </w:rPr>
        <w:t>iterations</w:t>
      </w:r>
      <w:r w:rsidR="000D27C3" w:rsidRPr="00D13B67">
        <w:rPr>
          <w:rFonts w:eastAsia="Aptos"/>
        </w:rPr>
        <w:t xml:space="preserve"> of </w:t>
      </w:r>
      <w:r w:rsidR="005B4A0E" w:rsidRPr="00D13B67">
        <w:rPr>
          <w:rFonts w:eastAsia="Aptos"/>
        </w:rPr>
        <w:t>designs</w:t>
      </w:r>
      <w:r w:rsidR="000D27C3" w:rsidRPr="00D13B67">
        <w:rPr>
          <w:rFonts w:eastAsia="Aptos"/>
        </w:rPr>
        <w:t xml:space="preserve"> are key to inclusion</w:t>
      </w:r>
      <w:r w:rsidR="005B4A0E" w:rsidRPr="00D13B67">
        <w:rPr>
          <w:rFonts w:eastAsia="Aptos"/>
        </w:rPr>
        <w:t xml:space="preserve"> and </w:t>
      </w:r>
      <w:r w:rsidR="00C35D9E" w:rsidRPr="00D13B67">
        <w:rPr>
          <w:rFonts w:eastAsia="Aptos"/>
        </w:rPr>
        <w:t>accessibility</w:t>
      </w:r>
      <w:r w:rsidR="005B4A0E" w:rsidRPr="00D13B67">
        <w:rPr>
          <w:rFonts w:eastAsia="Aptos"/>
        </w:rPr>
        <w:t xml:space="preserve">. </w:t>
      </w:r>
    </w:p>
    <w:p w14:paraId="4E22A6A1" w14:textId="77777777" w:rsidR="00F653B6" w:rsidRPr="00D13B67" w:rsidRDefault="00F46880" w:rsidP="007230A8">
      <w:pPr>
        <w:pStyle w:val="Body"/>
        <w:rPr>
          <w:rFonts w:eastAsia="Aptos"/>
        </w:rPr>
      </w:pPr>
      <w:r w:rsidRPr="00D13B67">
        <w:rPr>
          <w:rFonts w:eastAsia="Aptos"/>
        </w:rPr>
        <w:t xml:space="preserve">Mismatch arises when designs </w:t>
      </w:r>
      <w:r w:rsidR="005D23FA" w:rsidRPr="00D13B67">
        <w:rPr>
          <w:rFonts w:eastAsia="Aptos"/>
        </w:rPr>
        <w:t>have not consider</w:t>
      </w:r>
      <w:r w:rsidR="0087714D" w:rsidRPr="00D13B67">
        <w:rPr>
          <w:rFonts w:eastAsia="Aptos"/>
        </w:rPr>
        <w:t xml:space="preserve">ed </w:t>
      </w:r>
      <w:r w:rsidR="005D23FA" w:rsidRPr="00D13B67">
        <w:rPr>
          <w:rFonts w:eastAsia="Aptos"/>
        </w:rPr>
        <w:t xml:space="preserve">the range of possible human interactions. Cassim et al. </w:t>
      </w:r>
      <w:r w:rsidR="00C35D9E" w:rsidRPr="00D13B67">
        <w:rPr>
          <w:rFonts w:eastAsia="Aptos"/>
        </w:rPr>
        <w:t>(2007)</w:t>
      </w:r>
      <w:r w:rsidR="005D23FA" w:rsidRPr="00D13B67">
        <w:rPr>
          <w:rFonts w:eastAsia="Aptos"/>
        </w:rPr>
        <w:t xml:space="preserve"> </w:t>
      </w:r>
      <w:r w:rsidR="0087714D" w:rsidRPr="00D13B67">
        <w:rPr>
          <w:rFonts w:eastAsia="Aptos"/>
        </w:rPr>
        <w:t xml:space="preserve">suggest </w:t>
      </w:r>
      <w:r w:rsidR="00655BE1" w:rsidRPr="00D13B67">
        <w:rPr>
          <w:rFonts w:eastAsia="Aptos"/>
        </w:rPr>
        <w:t xml:space="preserve">poor design is often the result of </w:t>
      </w:r>
    </w:p>
    <w:p w14:paraId="3F45F28B" w14:textId="3AF0E100" w:rsidR="00C35D9E" w:rsidRPr="00D13B67" w:rsidRDefault="00F653B6" w:rsidP="00F653B6">
      <w:pPr>
        <w:pStyle w:val="Body"/>
        <w:ind w:left="709" w:firstLine="0"/>
        <w:rPr>
          <w:rFonts w:eastAsia="Aptos"/>
        </w:rPr>
      </w:pPr>
      <w:r w:rsidRPr="00D13B67">
        <w:rPr>
          <w:rFonts w:eastAsia="Aptos"/>
        </w:rPr>
        <w:lastRenderedPageBreak/>
        <w:t>N</w:t>
      </w:r>
      <w:r w:rsidR="00655BE1" w:rsidRPr="00D13B67">
        <w:rPr>
          <w:rFonts w:eastAsia="Aptos"/>
        </w:rPr>
        <w:t xml:space="preserve">o one in the design, engineering or production chain [having] </w:t>
      </w:r>
      <w:proofErr w:type="gramStart"/>
      <w:r w:rsidR="00655BE1" w:rsidRPr="00D13B67">
        <w:rPr>
          <w:rFonts w:eastAsia="Aptos"/>
        </w:rPr>
        <w:t>actually tried</w:t>
      </w:r>
      <w:proofErr w:type="gramEnd"/>
      <w:r w:rsidR="00655BE1" w:rsidRPr="00D13B67">
        <w:rPr>
          <w:rFonts w:eastAsia="Aptos"/>
        </w:rPr>
        <w:t xml:space="preserve"> the new product or service</w:t>
      </w:r>
      <w:r w:rsidR="00F434E3" w:rsidRPr="00D13B67">
        <w:rPr>
          <w:rFonts w:eastAsia="Aptos"/>
        </w:rPr>
        <w:t xml:space="preserve"> as a naïve consumer, because if they had, then the consumer would not have to experience such problems and frustrations</w:t>
      </w:r>
      <w:r w:rsidR="00C35D9E" w:rsidRPr="00D13B67">
        <w:rPr>
          <w:rFonts w:eastAsia="Aptos"/>
        </w:rPr>
        <w:t>.</w:t>
      </w:r>
      <w:r w:rsidR="00F434E3" w:rsidRPr="00D13B67">
        <w:rPr>
          <w:rFonts w:eastAsia="Aptos"/>
        </w:rPr>
        <w:t xml:space="preserve"> (p. 15)</w:t>
      </w:r>
    </w:p>
    <w:p w14:paraId="5D51E759" w14:textId="01E15F09" w:rsidR="00C51872" w:rsidRPr="00D13B67" w:rsidRDefault="003F05F5" w:rsidP="00C35D9E">
      <w:pPr>
        <w:pStyle w:val="Body"/>
        <w:ind w:firstLine="0"/>
        <w:rPr>
          <w:rFonts w:eastAsia="Aptos"/>
        </w:rPr>
      </w:pPr>
      <w:r w:rsidRPr="00D13B67">
        <w:rPr>
          <w:rFonts w:eastAsia="Aptos"/>
        </w:rPr>
        <w:t>In the case of digital learning materials, instructors and staff may not be considering the consumption of content</w:t>
      </w:r>
      <w:r w:rsidR="00E80138" w:rsidRPr="00D13B67">
        <w:rPr>
          <w:rFonts w:eastAsia="Aptos"/>
        </w:rPr>
        <w:t>; their focus may be</w:t>
      </w:r>
      <w:r w:rsidRPr="00D13B67">
        <w:rPr>
          <w:rFonts w:eastAsia="Aptos"/>
        </w:rPr>
        <w:t xml:space="preserve"> </w:t>
      </w:r>
      <w:r w:rsidR="00C51872" w:rsidRPr="00D13B67">
        <w:rPr>
          <w:rFonts w:eastAsia="Aptos"/>
        </w:rPr>
        <w:t>limited to</w:t>
      </w:r>
      <w:r w:rsidRPr="00D13B67">
        <w:rPr>
          <w:rFonts w:eastAsia="Aptos"/>
        </w:rPr>
        <w:t xml:space="preserve"> the creation, curation, and distribution</w:t>
      </w:r>
      <w:r w:rsidR="00C51872" w:rsidRPr="00D13B67">
        <w:rPr>
          <w:rFonts w:eastAsia="Aptos"/>
        </w:rPr>
        <w:t xml:space="preserve"> of any material regardless of user needs</w:t>
      </w:r>
      <w:r w:rsidRPr="00D13B67">
        <w:rPr>
          <w:rFonts w:eastAsia="Aptos"/>
        </w:rPr>
        <w:t>. They may even feel they are doing something helpful in the example of the scanned book.</w:t>
      </w:r>
      <w:r w:rsidR="00EA3BF3" w:rsidRPr="00D13B67">
        <w:rPr>
          <w:rFonts w:eastAsia="Aptos"/>
        </w:rPr>
        <w:t xml:space="preserve"> However, these decisions do not include consideration of diverse perspectives and means of access.</w:t>
      </w:r>
      <w:r w:rsidR="00F434E3" w:rsidRPr="00D13B67">
        <w:rPr>
          <w:rFonts w:eastAsia="Aptos"/>
        </w:rPr>
        <w:t xml:space="preserve"> </w:t>
      </w:r>
      <w:r w:rsidR="00D22C25" w:rsidRPr="00D13B67">
        <w:rPr>
          <w:rFonts w:eastAsia="Aptos"/>
        </w:rPr>
        <w:t>Holmes argues that designing with excluded groups is essential to effective design.</w:t>
      </w:r>
      <w:r w:rsidR="009410EF" w:rsidRPr="00D13B67">
        <w:rPr>
          <w:rFonts w:eastAsia="Aptos"/>
        </w:rPr>
        <w:t xml:space="preserve"> </w:t>
      </w:r>
      <w:r w:rsidR="00F04757" w:rsidRPr="00D13B67">
        <w:rPr>
          <w:rFonts w:eastAsia="Aptos"/>
        </w:rPr>
        <w:t>Holmes</w:t>
      </w:r>
      <w:r w:rsidR="00E41013" w:rsidRPr="00D13B67">
        <w:rPr>
          <w:rFonts w:eastAsia="Aptos"/>
        </w:rPr>
        <w:t xml:space="preserve"> (2018)</w:t>
      </w:r>
      <w:r w:rsidR="00F04757" w:rsidRPr="00D13B67">
        <w:rPr>
          <w:rFonts w:eastAsia="Aptos"/>
        </w:rPr>
        <w:t xml:space="preserve"> encourages designers to</w:t>
      </w:r>
      <w:r w:rsidR="00C51872" w:rsidRPr="00D13B67">
        <w:rPr>
          <w:rFonts w:eastAsia="Aptos"/>
        </w:rPr>
        <w:t>:</w:t>
      </w:r>
    </w:p>
    <w:p w14:paraId="5A941ACC" w14:textId="3C0991FF" w:rsidR="00E41013" w:rsidRPr="00D13B67" w:rsidRDefault="00E41013" w:rsidP="00E41013">
      <w:pPr>
        <w:pStyle w:val="Body"/>
        <w:ind w:left="709" w:firstLine="0"/>
        <w:rPr>
          <w:rFonts w:eastAsia="Aptos"/>
        </w:rPr>
      </w:pPr>
      <w:r w:rsidRPr="00D13B67">
        <w:rPr>
          <w:rFonts w:eastAsia="Aptos"/>
        </w:rPr>
        <w:t>S</w:t>
      </w:r>
      <w:r w:rsidR="00F04757" w:rsidRPr="00D13B67">
        <w:rPr>
          <w:rFonts w:eastAsia="Aptos"/>
        </w:rPr>
        <w:t>eek out the perspectives of people who are, or risk being, the most excluded by a solution.</w:t>
      </w:r>
      <w:r w:rsidR="00F04757" w:rsidRPr="00D13B67">
        <w:t xml:space="preserve"> </w:t>
      </w:r>
      <w:r w:rsidR="00F04757" w:rsidRPr="00D13B67">
        <w:rPr>
          <w:rFonts w:eastAsia="Aptos"/>
        </w:rPr>
        <w:t>Often, the people who carry the greatest burden of exclusion also have the greatest insight into how to shift design toward inclusion</w:t>
      </w:r>
      <w:r w:rsidRPr="00D13B67">
        <w:rPr>
          <w:rFonts w:eastAsia="Aptos"/>
        </w:rPr>
        <w:t>.</w:t>
      </w:r>
      <w:r w:rsidR="00F04757" w:rsidRPr="00D13B67">
        <w:rPr>
          <w:rFonts w:eastAsia="Aptos"/>
        </w:rPr>
        <w:t xml:space="preserve"> (p. 32)</w:t>
      </w:r>
    </w:p>
    <w:p w14:paraId="3AC32CA9" w14:textId="10279BE3" w:rsidR="007230A8" w:rsidRPr="00D13B67" w:rsidRDefault="00B94610" w:rsidP="00C35D9E">
      <w:pPr>
        <w:pStyle w:val="Body"/>
        <w:ind w:firstLine="0"/>
        <w:rPr>
          <w:rFonts w:eastAsia="Aptos"/>
        </w:rPr>
      </w:pPr>
      <w:r w:rsidRPr="00D13B67">
        <w:rPr>
          <w:rFonts w:eastAsia="Aptos"/>
        </w:rPr>
        <w:t xml:space="preserve">By including </w:t>
      </w:r>
      <w:r w:rsidR="0085184B" w:rsidRPr="00D13B67">
        <w:rPr>
          <w:rFonts w:eastAsia="Aptos"/>
        </w:rPr>
        <w:t>people in the design process, the risk of exclusion and the likelihood of required retrofits greatly decrease</w:t>
      </w:r>
      <w:r w:rsidR="00D65AA3" w:rsidRPr="00D13B67">
        <w:rPr>
          <w:rFonts w:eastAsia="Aptos"/>
        </w:rPr>
        <w:t xml:space="preserve"> (Swan, 2025)</w:t>
      </w:r>
      <w:r w:rsidR="0085184B" w:rsidRPr="00D13B67">
        <w:rPr>
          <w:rFonts w:eastAsia="Aptos"/>
        </w:rPr>
        <w:t xml:space="preserve">. </w:t>
      </w:r>
      <w:r w:rsidR="007230A8" w:rsidRPr="00D13B67">
        <w:rPr>
          <w:rFonts w:eastAsia="Aptos"/>
        </w:rPr>
        <w:t>A product that matches or allows for multiple means of access does not need to be changed.</w:t>
      </w:r>
    </w:p>
    <w:p w14:paraId="6C95264F" w14:textId="77777777" w:rsidR="00F67872" w:rsidRPr="00D13B67" w:rsidRDefault="009B28AA" w:rsidP="00F67872">
      <w:pPr>
        <w:pStyle w:val="Body"/>
        <w:rPr>
          <w:rFonts w:eastAsia="Aptos"/>
        </w:rPr>
      </w:pPr>
      <w:r w:rsidRPr="00D13B67">
        <w:rPr>
          <w:rFonts w:eastAsia="Aptos"/>
        </w:rPr>
        <w:t xml:space="preserve">Holmes </w:t>
      </w:r>
      <w:r w:rsidR="00EB6D3E" w:rsidRPr="00D13B67">
        <w:rPr>
          <w:rFonts w:eastAsia="Aptos"/>
        </w:rPr>
        <w:t xml:space="preserve">emphasizes the need to enable and draw on the full range of human diversity </w:t>
      </w:r>
      <w:r w:rsidR="00DF53FB" w:rsidRPr="00D13B67">
        <w:rPr>
          <w:rFonts w:eastAsia="Aptos"/>
        </w:rPr>
        <w:t>to maximize inclusion</w:t>
      </w:r>
      <w:r w:rsidR="000D69C3" w:rsidRPr="00D13B67">
        <w:rPr>
          <w:rFonts w:eastAsia="Aptos"/>
        </w:rPr>
        <w:t>.</w:t>
      </w:r>
      <w:r w:rsidR="00DF53FB" w:rsidRPr="00D13B67">
        <w:rPr>
          <w:rFonts w:eastAsia="Aptos"/>
        </w:rPr>
        <w:t xml:space="preserve"> An inclusive designer, according to Holmes, is “someone</w:t>
      </w:r>
      <w:r w:rsidR="006931E1" w:rsidRPr="00D13B67">
        <w:rPr>
          <w:rFonts w:eastAsia="Aptos"/>
        </w:rPr>
        <w:t xml:space="preserve">, arguably anyone, who recognizes and remedies mismatched interactions between people and their world” (2018, p. 56). </w:t>
      </w:r>
      <w:r w:rsidR="00602019" w:rsidRPr="00D13B67">
        <w:rPr>
          <w:rFonts w:eastAsia="Aptos"/>
        </w:rPr>
        <w:t>Inclusive</w:t>
      </w:r>
      <w:r w:rsidR="00047A9D" w:rsidRPr="00D13B67">
        <w:rPr>
          <w:rFonts w:eastAsia="Aptos"/>
        </w:rPr>
        <w:t xml:space="preserve"> design works to align potential solutions with </w:t>
      </w:r>
      <w:r w:rsidR="00633D7F" w:rsidRPr="00D13B67">
        <w:rPr>
          <w:rFonts w:eastAsia="Aptos"/>
        </w:rPr>
        <w:t xml:space="preserve">the </w:t>
      </w:r>
      <w:r w:rsidR="00047A9D" w:rsidRPr="00D13B67">
        <w:rPr>
          <w:rFonts w:eastAsia="Aptos"/>
        </w:rPr>
        <w:t xml:space="preserve">wide spectrum of diverse </w:t>
      </w:r>
      <w:r w:rsidR="00AF7289" w:rsidRPr="00D13B67">
        <w:rPr>
          <w:rFonts w:eastAsia="Aptos"/>
        </w:rPr>
        <w:t xml:space="preserve">human </w:t>
      </w:r>
      <w:r w:rsidR="00047A9D" w:rsidRPr="00D13B67">
        <w:rPr>
          <w:rFonts w:eastAsia="Aptos"/>
        </w:rPr>
        <w:t>needs</w:t>
      </w:r>
      <w:r w:rsidR="00AF7289" w:rsidRPr="00D13B67">
        <w:rPr>
          <w:rFonts w:eastAsia="Aptos"/>
        </w:rPr>
        <w:t xml:space="preserve"> (</w:t>
      </w:r>
      <w:r w:rsidR="00602019" w:rsidRPr="00D13B67">
        <w:rPr>
          <w:rFonts w:eastAsia="Aptos"/>
        </w:rPr>
        <w:t xml:space="preserve">Holmes, </w:t>
      </w:r>
      <w:r w:rsidR="00AF7289" w:rsidRPr="00D13B67">
        <w:rPr>
          <w:rFonts w:eastAsia="Aptos"/>
        </w:rPr>
        <w:t>2018</w:t>
      </w:r>
      <w:r w:rsidR="00602019" w:rsidRPr="00D13B67">
        <w:rPr>
          <w:rFonts w:eastAsia="Aptos"/>
        </w:rPr>
        <w:t>, Swan, 2025</w:t>
      </w:r>
      <w:r w:rsidR="00AF7289" w:rsidRPr="00D13B67">
        <w:rPr>
          <w:rFonts w:eastAsia="Aptos"/>
        </w:rPr>
        <w:t xml:space="preserve">). </w:t>
      </w:r>
      <w:r w:rsidR="00DA269D" w:rsidRPr="00D13B67">
        <w:rPr>
          <w:rFonts w:eastAsia="Aptos"/>
        </w:rPr>
        <w:t>Regarding</w:t>
      </w:r>
      <w:r w:rsidR="00AF7289" w:rsidRPr="00D13B67">
        <w:rPr>
          <w:rFonts w:eastAsia="Aptos"/>
        </w:rPr>
        <w:t xml:space="preserve"> digital content, such as digital learning material, Holmes states that</w:t>
      </w:r>
      <w:r w:rsidR="00CA53C4" w:rsidRPr="00D13B67">
        <w:rPr>
          <w:rFonts w:eastAsia="Aptos"/>
        </w:rPr>
        <w:t xml:space="preserve"> “i</w:t>
      </w:r>
      <w:r w:rsidR="005B4A0E" w:rsidRPr="00D13B67">
        <w:rPr>
          <w:rFonts w:eastAsia="Aptos"/>
        </w:rPr>
        <w:t xml:space="preserve">nclusive design is simply </w:t>
      </w:r>
      <w:r w:rsidR="005B4A0E" w:rsidRPr="00D13B67">
        <w:rPr>
          <w:rFonts w:eastAsia="Aptos"/>
        </w:rPr>
        <w:lastRenderedPageBreak/>
        <w:t>good design for the digital age” (2018, p. 140)</w:t>
      </w:r>
      <w:r w:rsidR="00CA53C4" w:rsidRPr="00D13B67">
        <w:rPr>
          <w:rFonts w:eastAsia="Aptos"/>
        </w:rPr>
        <w:t>.</w:t>
      </w:r>
      <w:r w:rsidR="00827F33" w:rsidRPr="00D13B67">
        <w:rPr>
          <w:rFonts w:eastAsia="Aptos"/>
        </w:rPr>
        <w:t xml:space="preserve"> Digital spaces offer significantly more customization and personalization</w:t>
      </w:r>
      <w:r w:rsidR="00F67872" w:rsidRPr="00D13B67">
        <w:rPr>
          <w:rFonts w:eastAsia="Aptos"/>
        </w:rPr>
        <w:t xml:space="preserve"> than physical spaces.</w:t>
      </w:r>
    </w:p>
    <w:p w14:paraId="07CFF4DB" w14:textId="56915A9E" w:rsidR="7A70F0E4" w:rsidRPr="00D13B67" w:rsidRDefault="00E02468" w:rsidP="00F67872">
      <w:pPr>
        <w:pStyle w:val="Body"/>
      </w:pPr>
      <w:r w:rsidRPr="00D13B67">
        <w:rPr>
          <w:rFonts w:eastAsia="Aptos"/>
        </w:rPr>
        <w:t xml:space="preserve">Humans are disabled by the mismatch of how something is and </w:t>
      </w:r>
      <w:r w:rsidR="007A321A" w:rsidRPr="00D13B67">
        <w:rPr>
          <w:rFonts w:eastAsia="Aptos"/>
        </w:rPr>
        <w:t>the</w:t>
      </w:r>
      <w:r w:rsidRPr="00D13B67">
        <w:rPr>
          <w:rFonts w:eastAsia="Aptos"/>
        </w:rPr>
        <w:t xml:space="preserve"> way they interact with that thing. </w:t>
      </w:r>
      <w:r w:rsidR="00B45757" w:rsidRPr="00D13B67">
        <w:rPr>
          <w:rFonts w:eastAsia="Aptos"/>
        </w:rPr>
        <w:t>According to the IDRC</w:t>
      </w:r>
      <w:r w:rsidR="00D84D53" w:rsidRPr="00D13B67">
        <w:rPr>
          <w:rFonts w:eastAsia="Aptos"/>
        </w:rPr>
        <w:t xml:space="preserve">, disability is </w:t>
      </w:r>
      <w:r w:rsidR="00B9701B" w:rsidRPr="00D13B67">
        <w:rPr>
          <w:rFonts w:eastAsia="Aptos"/>
        </w:rPr>
        <w:t>“</w:t>
      </w:r>
      <w:r w:rsidR="00D84D53" w:rsidRPr="00D13B67">
        <w:rPr>
          <w:rFonts w:eastAsia="Aptos"/>
        </w:rPr>
        <w:t>a mismatch between the needs of the individual and the design of the product, system or service. With this framing, disability can be experienced by anyone excluded by the design</w:t>
      </w:r>
      <w:r w:rsidR="000F744F" w:rsidRPr="00D13B67">
        <w:rPr>
          <w:rFonts w:eastAsia="Aptos"/>
        </w:rPr>
        <w:t>”</w:t>
      </w:r>
      <w:r w:rsidR="00B9701B" w:rsidRPr="00D13B67">
        <w:rPr>
          <w:rFonts w:eastAsia="Aptos"/>
        </w:rPr>
        <w:t xml:space="preserve"> (IDRC, 2018). </w:t>
      </w:r>
      <w:r w:rsidRPr="00D13B67">
        <w:rPr>
          <w:rFonts w:eastAsia="Aptos"/>
        </w:rPr>
        <w:t>In post-secondary education, students are disabled by digital learning material that does not work with their required technology</w:t>
      </w:r>
      <w:r w:rsidR="00B45757" w:rsidRPr="00D13B67">
        <w:rPr>
          <w:rFonts w:eastAsia="Aptos"/>
        </w:rPr>
        <w:t xml:space="preserve">. </w:t>
      </w:r>
      <w:r w:rsidR="00F46880" w:rsidRPr="00D13B67">
        <w:rPr>
          <w:rFonts w:eastAsia="Aptos"/>
        </w:rPr>
        <w:t>According to the IDRC, t</w:t>
      </w:r>
      <w:r w:rsidR="00B45757" w:rsidRPr="00D13B67">
        <w:rPr>
          <w:rFonts w:eastAsia="Aptos"/>
        </w:rPr>
        <w:t xml:space="preserve">he </w:t>
      </w:r>
      <w:r w:rsidR="00F46880" w:rsidRPr="00D13B67">
        <w:rPr>
          <w:rFonts w:eastAsia="Aptos"/>
        </w:rPr>
        <w:t>inaccessibility</w:t>
      </w:r>
      <w:r w:rsidR="00B45757" w:rsidRPr="00D13B67">
        <w:rPr>
          <w:rFonts w:eastAsia="Aptos"/>
        </w:rPr>
        <w:t xml:space="preserve"> of digital learning material</w:t>
      </w:r>
      <w:r w:rsidR="00F46880" w:rsidRPr="00D13B67">
        <w:rPr>
          <w:rFonts w:eastAsia="Aptos"/>
        </w:rPr>
        <w:t>, or any mismatch, can be solved through inclusive design (2016).</w:t>
      </w:r>
    </w:p>
    <w:p w14:paraId="06859E85" w14:textId="27A12B8C" w:rsidR="00F562C6" w:rsidRPr="00D13B67" w:rsidRDefault="00F562C6" w:rsidP="00F562C6">
      <w:pPr>
        <w:pStyle w:val="Heading5"/>
      </w:pPr>
      <w:r w:rsidRPr="00D13B67">
        <w:t>Diversity and Uniqueness</w:t>
      </w:r>
    </w:p>
    <w:p w14:paraId="030CD3AD" w14:textId="65041362" w:rsidR="00876899" w:rsidRPr="00D13B67" w:rsidRDefault="00876899" w:rsidP="00876899">
      <w:pPr>
        <w:pStyle w:val="Body"/>
        <w:rPr>
          <w:rFonts w:ascii="Aptos" w:eastAsia="Aptos" w:hAnsi="Aptos" w:cs="Aptos"/>
        </w:rPr>
      </w:pPr>
      <w:r w:rsidRPr="00D13B67">
        <w:t xml:space="preserve">Recognizing human diversity and uniqueness works to undo </w:t>
      </w:r>
      <w:r w:rsidR="008806C7" w:rsidRPr="00D13B67">
        <w:t xml:space="preserve">some of </w:t>
      </w:r>
      <w:r w:rsidRPr="00D13B67">
        <w:t xml:space="preserve">the harm caused by </w:t>
      </w:r>
      <w:r w:rsidR="00513915" w:rsidRPr="00D13B67">
        <w:t xml:space="preserve">the common </w:t>
      </w:r>
      <w:r w:rsidRPr="00D13B67">
        <w:t xml:space="preserve">presumption that professional expertise outweighs life experience (Holmes, 2018). As Chinn &amp; Pelletier note, the tension between expert and </w:t>
      </w:r>
      <w:r w:rsidR="00F842DE" w:rsidRPr="00D13B67">
        <w:t>experience</w:t>
      </w:r>
      <w:r w:rsidRPr="00D13B67">
        <w:t xml:space="preserve"> may result in researchers ignoring the inputs of participants (2020). Those presumptions contribute to the mismatches that necessitates inclusive design. Inclusive design considers the full range of human diversity where ‘alternative’ modes of interaction are given equal weight in the design process (IDRC, 2016). By centering unique interaction, inclusive design prioritizes one-size-fits-one design. As opposed to a one-size-fits-all approach to design, inclusive design incorporates a more acute and nuanced awareness of the exclusion caused when one lands outside the parameters of the ‘one-size’ or average (Keates &amp; Clarkson, 2002). However, unlike universal design disciplines, inclusive design emphasizes adaptive, flexible designs that allow for customization to meet the </w:t>
      </w:r>
      <w:r w:rsidRPr="00D13B67">
        <w:lastRenderedPageBreak/>
        <w:t xml:space="preserve">needs of a greater number of users, particularly those outside the ‘normal’ range of interaction (IDRC, 2016). </w:t>
      </w:r>
      <w:r w:rsidRPr="00D13B67">
        <w:rPr>
          <w:rFonts w:ascii="Aptos" w:eastAsia="Aptos" w:hAnsi="Aptos" w:cs="Aptos"/>
        </w:rPr>
        <w:t xml:space="preserve">Digital spaces are particularly flexible and adaptable to individual needs and preferences. The flexibility of digital learning material to user needs </w:t>
      </w:r>
      <w:r w:rsidR="00814BCE" w:rsidRPr="00D13B67">
        <w:rPr>
          <w:rFonts w:ascii="Aptos" w:eastAsia="Aptos" w:hAnsi="Aptos" w:cs="Aptos"/>
        </w:rPr>
        <w:t>varies</w:t>
      </w:r>
      <w:r w:rsidRPr="00D13B67">
        <w:rPr>
          <w:rFonts w:ascii="Aptos" w:eastAsia="Aptos" w:hAnsi="Aptos" w:cs="Aptos"/>
        </w:rPr>
        <w:t xml:space="preserve"> depending on format. For example, HTML and </w:t>
      </w:r>
      <w:r w:rsidR="00E97B62" w:rsidRPr="00D13B67">
        <w:rPr>
          <w:rFonts w:ascii="Aptos" w:eastAsia="Aptos" w:hAnsi="Aptos" w:cs="Aptos"/>
        </w:rPr>
        <w:t>EPUB</w:t>
      </w:r>
      <w:r w:rsidRPr="00D13B67">
        <w:rPr>
          <w:rFonts w:ascii="Aptos" w:eastAsia="Aptos" w:hAnsi="Aptos" w:cs="Aptos"/>
        </w:rPr>
        <w:t xml:space="preserve"> files are accessible to assistive technology and offer customizations of font size and style, background colours, and contrast. More rigid formats like digital rights management</w:t>
      </w:r>
      <w:r w:rsidR="00814BCE" w:rsidRPr="00D13B67">
        <w:rPr>
          <w:rFonts w:ascii="Aptos" w:eastAsia="Aptos" w:hAnsi="Aptos" w:cs="Aptos"/>
        </w:rPr>
        <w:t xml:space="preserve"> (DRM)</w:t>
      </w:r>
      <w:r w:rsidRPr="00D13B67">
        <w:rPr>
          <w:rFonts w:ascii="Aptos" w:eastAsia="Aptos" w:hAnsi="Aptos" w:cs="Aptos"/>
        </w:rPr>
        <w:t xml:space="preserve"> locked publisher platforms or PDFs offer no customization and inconsistent compatibility with assistive technology. </w:t>
      </w:r>
    </w:p>
    <w:p w14:paraId="7A21281A" w14:textId="32507337" w:rsidR="00653DBB" w:rsidRPr="00D13B67" w:rsidRDefault="00653DBB" w:rsidP="00653DBB">
      <w:pPr>
        <w:pStyle w:val="Body"/>
        <w:rPr>
          <w:rFonts w:ascii="Aptos" w:eastAsia="Aptos" w:hAnsi="Aptos" w:cs="Aptos"/>
        </w:rPr>
      </w:pPr>
      <w:r w:rsidRPr="00D13B67">
        <w:t>Inclusive design is, at its core, a framework for reducing exclusion. The use of the term ‘design’ in this work refers to any process of creating, curating, and choosing. Design does not necessarily refer an artistic process, but the production of an experience for someone else. For example, an instructor might be said to ‘design’ their course. However, when someone cannot use a product, engage with a service, or move through a place because</w:t>
      </w:r>
      <w:r w:rsidR="00814BCE" w:rsidRPr="00D13B67">
        <w:t xml:space="preserve"> of</w:t>
      </w:r>
      <w:r w:rsidRPr="00D13B67">
        <w:t xml:space="preserve"> its design, that thing creates exclusion (Keates </w:t>
      </w:r>
      <w:r w:rsidR="00F7527A" w:rsidRPr="00D13B67">
        <w:t>&amp;</w:t>
      </w:r>
      <w:r w:rsidRPr="00D13B67">
        <w:t xml:space="preserve"> Clarkson, 2002). In much the same way that society disables people (see section 2.2.1), exclusion disables people. When an inaccessible document means a disabled student cannot engage with, for example, their readings, that document creates exclusion</w:t>
      </w:r>
      <w:r w:rsidR="003C2320" w:rsidRPr="00D13B67">
        <w:t xml:space="preserve"> by disabling</w:t>
      </w:r>
      <w:r w:rsidRPr="00D13B67">
        <w:t xml:space="preserve"> that student. Exclusion does not occur naturally. According to Cassim et al. (2007) neglect, ignorance, and insufficient information cause exclusive designs</w:t>
      </w:r>
      <w:r w:rsidRPr="00D13B67">
        <w:rPr>
          <w:rFonts w:ascii="Aptos" w:eastAsia="Aptos" w:hAnsi="Aptos" w:cs="Aptos"/>
        </w:rPr>
        <w:t>.</w:t>
      </w:r>
    </w:p>
    <w:p w14:paraId="650C6B06" w14:textId="27327C39" w:rsidR="00653DBB" w:rsidRPr="00D13B67" w:rsidRDefault="00653DBB" w:rsidP="00653DBB">
      <w:pPr>
        <w:pStyle w:val="Body"/>
        <w:rPr>
          <w:rFonts w:ascii="Aptos" w:eastAsia="Aptos" w:hAnsi="Aptos" w:cs="Aptos"/>
        </w:rPr>
      </w:pPr>
      <w:r w:rsidRPr="00D13B67">
        <w:t xml:space="preserve">Exclusive designs may only consider one assumed mode of interaction and participation, often using the designers’ own abilities as a baseline. This behaviour may be rooted in an ability bias (the assumption that what </w:t>
      </w:r>
      <w:r w:rsidRPr="00D13B67">
        <w:rPr>
          <w:i/>
          <w:iCs/>
        </w:rPr>
        <w:t xml:space="preserve">I </w:t>
      </w:r>
      <w:r w:rsidRPr="00D13B67">
        <w:t xml:space="preserve">can do the way </w:t>
      </w:r>
      <w:r w:rsidRPr="00D13B67">
        <w:rPr>
          <w:i/>
          <w:iCs/>
        </w:rPr>
        <w:t>I</w:t>
      </w:r>
      <w:r w:rsidRPr="00D13B67">
        <w:t xml:space="preserve"> do,</w:t>
      </w:r>
      <w:r w:rsidRPr="00D13B67">
        <w:rPr>
          <w:i/>
          <w:iCs/>
        </w:rPr>
        <w:t xml:space="preserve"> you</w:t>
      </w:r>
      <w:r w:rsidRPr="00D13B67">
        <w:t xml:space="preserve"> can do the </w:t>
      </w:r>
      <w:r w:rsidRPr="00D13B67">
        <w:lastRenderedPageBreak/>
        <w:t xml:space="preserve">way I do) or unexamined assumptions about a group of people (Holmes, 2018). Categorizing people into an assumed monolithic group, especially one based on presumed ability, creates exclusive, ineffective, and possibly offensive solutions. </w:t>
      </w:r>
      <w:r w:rsidRPr="00D13B67">
        <w:rPr>
          <w:rFonts w:ascii="Aptos" w:eastAsia="Aptos" w:hAnsi="Aptos" w:cs="Aptos"/>
        </w:rPr>
        <w:t>Even when informed by rigid categorizations based on, for example, medical diagnoses (the medical model of disability), exclusive design leaves no tolerance for individual choices</w:t>
      </w:r>
      <w:r w:rsidR="003C2320" w:rsidRPr="00D13B67">
        <w:rPr>
          <w:rFonts w:ascii="Aptos" w:eastAsia="Aptos" w:hAnsi="Aptos" w:cs="Aptos"/>
        </w:rPr>
        <w:t xml:space="preserve">, </w:t>
      </w:r>
      <w:r w:rsidRPr="00D13B67">
        <w:rPr>
          <w:rFonts w:ascii="Aptos" w:eastAsia="Aptos" w:hAnsi="Aptos" w:cs="Aptos"/>
        </w:rPr>
        <w:t xml:space="preserve">preferences, circumstance, </w:t>
      </w:r>
      <w:r w:rsidR="003C2320" w:rsidRPr="00D13B67">
        <w:rPr>
          <w:rFonts w:ascii="Aptos" w:eastAsia="Aptos" w:hAnsi="Aptos" w:cs="Aptos"/>
        </w:rPr>
        <w:t>or</w:t>
      </w:r>
      <w:r w:rsidRPr="00D13B67">
        <w:rPr>
          <w:rFonts w:ascii="Aptos" w:eastAsia="Aptos" w:hAnsi="Aptos" w:cs="Aptos"/>
        </w:rPr>
        <w:t xml:space="preserve"> the unexpected (Inclusive Design Research Centre [IDRC], 2016). </w:t>
      </w:r>
    </w:p>
    <w:p w14:paraId="2872AF81" w14:textId="77777777" w:rsidR="00653DBB" w:rsidRPr="00D13B67" w:rsidRDefault="00653DBB" w:rsidP="00653DBB">
      <w:pPr>
        <w:pStyle w:val="Body"/>
        <w:rPr>
          <w:rFonts w:eastAsia="Aptos"/>
        </w:rPr>
      </w:pPr>
      <w:r w:rsidRPr="00D13B67">
        <w:rPr>
          <w:rFonts w:eastAsia="Aptos"/>
        </w:rPr>
        <w:t>In the hypothetical realm, many of these prejudicial categorizations are based on personas. A researcher or designer might, for example, use a persona of their customer to guide design decisions. Personas, even those created with good intentions, oversimplify the uniqueness of people to groupings that do not reflect human diversity and create barriers to including real users in the design process (Holmes, 2018). Personas are often built on a presumed, albeit fantastical, average.</w:t>
      </w:r>
    </w:p>
    <w:p w14:paraId="52C3B809" w14:textId="4BCB91E5" w:rsidR="00653DBB" w:rsidRPr="00D13B67" w:rsidRDefault="00653DBB" w:rsidP="00653DBB">
      <w:pPr>
        <w:pStyle w:val="Body"/>
        <w:rPr>
          <w:rFonts w:eastAsia="Aptos"/>
        </w:rPr>
      </w:pPr>
      <w:r w:rsidRPr="00D13B67">
        <w:rPr>
          <w:rFonts w:eastAsia="Aptos"/>
        </w:rPr>
        <w:t xml:space="preserve">Academia, medicine, and eugenics are all deeply invested in the idea of average. Todd Rose’s </w:t>
      </w:r>
      <w:r w:rsidRPr="00D13B67">
        <w:rPr>
          <w:rFonts w:eastAsia="Aptos"/>
          <w:i/>
        </w:rPr>
        <w:t>The End of Average</w:t>
      </w:r>
      <w:r w:rsidRPr="00D13B67">
        <w:rPr>
          <w:rFonts w:eastAsia="Aptos"/>
          <w:b/>
          <w:i/>
        </w:rPr>
        <w:t xml:space="preserve"> </w:t>
      </w:r>
      <w:r w:rsidR="00951F5F" w:rsidRPr="00D13B67">
        <w:rPr>
          <w:rFonts w:eastAsia="Aptos"/>
          <w:bCs/>
          <w:iCs/>
        </w:rPr>
        <w:t>(</w:t>
      </w:r>
      <w:r w:rsidR="00951F5F" w:rsidRPr="00D13B67">
        <w:rPr>
          <w:rFonts w:eastAsia="Aptos"/>
        </w:rPr>
        <w:t>2017</w:t>
      </w:r>
      <w:r w:rsidR="00951F5F" w:rsidRPr="00D13B67">
        <w:rPr>
          <w:rFonts w:eastAsia="Aptos"/>
          <w:bCs/>
          <w:iCs/>
        </w:rPr>
        <w:t>)</w:t>
      </w:r>
      <w:r w:rsidR="00951F5F" w:rsidRPr="00D13B67">
        <w:rPr>
          <w:rFonts w:eastAsia="Aptos"/>
        </w:rPr>
        <w:t xml:space="preserve"> </w:t>
      </w:r>
      <w:r w:rsidRPr="00D13B67">
        <w:rPr>
          <w:rFonts w:eastAsia="Aptos"/>
        </w:rPr>
        <w:t xml:space="preserve">outlines numerous historical attempts to capture an average. One of the most compelling, as it relates to inclusive design, is the efforts of the United States Air Force to create a one-size-fits-all airplane cockpit. Early airplane cockpits were based on the average measurement of hundreds of bodily dimensions from thousands of pilots. When this effort did not improve performance or safety, Gilbert Daniels measured four thousand pilots and found that zero matched even ten of the hundreds of </w:t>
      </w:r>
      <w:r w:rsidR="00D67D82" w:rsidRPr="00D13B67">
        <w:rPr>
          <w:rFonts w:eastAsia="Aptos"/>
        </w:rPr>
        <w:t xml:space="preserve">average </w:t>
      </w:r>
      <w:r w:rsidRPr="00D13B67">
        <w:rPr>
          <w:rFonts w:eastAsia="Aptos"/>
        </w:rPr>
        <w:t xml:space="preserve">dimensions. The solution was to replace a one-size-fits-all solution with fully adjustable seats, levers, pedals, and controls. The idea of personalization </w:t>
      </w:r>
      <w:r w:rsidRPr="00D13B67">
        <w:rPr>
          <w:rFonts w:eastAsia="Aptos"/>
        </w:rPr>
        <w:lastRenderedPageBreak/>
        <w:t xml:space="preserve">influenced the design of many other products; the customization of the airplane cockpit directly led to the ability to adjust a car seat, mirrors, and seat belt into positions that best suit each driver and passenger (Holmes, 2018). The best affordance for individuality and diversity is allowing user customization. </w:t>
      </w:r>
    </w:p>
    <w:p w14:paraId="397818BF" w14:textId="154F79CE" w:rsidR="00653DBB" w:rsidRPr="00D13B67" w:rsidRDefault="00653DBB" w:rsidP="00653DBB">
      <w:pPr>
        <w:pStyle w:val="Body"/>
      </w:pPr>
      <w:r w:rsidRPr="00D13B67">
        <w:t xml:space="preserve">Imagine being unable to adjust things to fit; how difficult tasks would be if you had to use and interact with everything as it came. If it were a desk chair, you may be annoyed if it was too high or too low, but you would manage. But consider the readings for a college course. When we assume everyone reads the same way we do and if, as in my case, I assume everyone else can read from a </w:t>
      </w:r>
      <w:r w:rsidR="00D67D82" w:rsidRPr="00D13B67">
        <w:t>physical</w:t>
      </w:r>
      <w:r w:rsidRPr="00D13B67">
        <w:t xml:space="preserve"> book, it becomes impossible for learners to adjust things to fit them. If, for example, only scans of the book are provided, screen reader users, text to speech users, readers that need larger font, and others will be excluded or, at the very least, have an extremely frustrating experience. If there is an eBook or accessible document format of that reading, then users of assistive technology and those that like to read</w:t>
      </w:r>
      <w:r w:rsidR="00720046" w:rsidRPr="00D13B67">
        <w:t>, for example,</w:t>
      </w:r>
      <w:r w:rsidRPr="00D13B67">
        <w:t xml:space="preserve"> white</w:t>
      </w:r>
      <w:r w:rsidR="00720046" w:rsidRPr="00D13B67">
        <w:t xml:space="preserve"> font</w:t>
      </w:r>
      <w:r w:rsidRPr="00D13B67">
        <w:t xml:space="preserve"> on black</w:t>
      </w:r>
      <w:r w:rsidR="00720046" w:rsidRPr="00D13B67">
        <w:t>,</w:t>
      </w:r>
      <w:r w:rsidRPr="00D13B67">
        <w:t xml:space="preserve"> need to increase the font size</w:t>
      </w:r>
      <w:r w:rsidR="00720046" w:rsidRPr="00D13B67">
        <w:t>,</w:t>
      </w:r>
      <w:r w:rsidRPr="00D13B67">
        <w:t xml:space="preserve"> or prefer to have content read aloud can all participate. If something is designed based on </w:t>
      </w:r>
      <w:r w:rsidR="00720046" w:rsidRPr="00D13B67">
        <w:t xml:space="preserve">one </w:t>
      </w:r>
      <w:r w:rsidRPr="00D13B67">
        <w:t>set of abilities or preferences or a presumed average, many are excluded; they become, as Kel Smith (2013) terms them, “digital outcasts” (p. 1).</w:t>
      </w:r>
    </w:p>
    <w:p w14:paraId="513F437C" w14:textId="48F61514" w:rsidR="00876899" w:rsidRPr="00D13B67" w:rsidRDefault="00653DBB" w:rsidP="00653DBB">
      <w:pPr>
        <w:pStyle w:val="Body"/>
      </w:pPr>
      <w:r w:rsidRPr="00D13B67">
        <w:rPr>
          <w:rFonts w:eastAsia="Aptos"/>
        </w:rPr>
        <w:t>There is no average user or average student. Without an average, there is no edge case or extreme user; there is a continuum of diverse humans, but there is no extreme to accommodate (Holmes, 201</w:t>
      </w:r>
      <w:r w:rsidR="00F65E8A" w:rsidRPr="00D13B67">
        <w:rPr>
          <w:rFonts w:eastAsia="Aptos"/>
        </w:rPr>
        <w:t>8</w:t>
      </w:r>
      <w:r w:rsidRPr="00D13B67">
        <w:rPr>
          <w:rFonts w:eastAsia="Aptos"/>
        </w:rPr>
        <w:t xml:space="preserve">; Rose, 2017). As most individuals deviate from the average in some need, preference, or mode of interaction, there is rarely a mass solution that works for everyone (IDRC, 2018). The lack of an average presents a challenge: how can </w:t>
      </w:r>
      <w:r w:rsidRPr="00D13B67">
        <w:rPr>
          <w:rFonts w:eastAsia="Aptos"/>
        </w:rPr>
        <w:lastRenderedPageBreak/>
        <w:t>something be created or designed for everyone? The first step is to avoid assumptions of average and to resist the desire to create something on the behalf of others without meaningful contribution of the impacted user groups, including marginalized and traditionally excluded communities (Holmes, 2018). The best method to counter designs that exclude is to “include and be guided by the individuals that have difficulty or are excluded from the existing designs” (IDRC, 2020).</w:t>
      </w:r>
    </w:p>
    <w:p w14:paraId="31D3C69E" w14:textId="2409BB31" w:rsidR="00F562C6" w:rsidRPr="00D13B67" w:rsidRDefault="00F562C6" w:rsidP="00F562C6">
      <w:pPr>
        <w:pStyle w:val="Heading5"/>
      </w:pPr>
      <w:r w:rsidRPr="00D13B67">
        <w:t>Inclusive Processes</w:t>
      </w:r>
    </w:p>
    <w:p w14:paraId="7C0E3ADF" w14:textId="28D6024A" w:rsidR="00383627" w:rsidRPr="00D13B67" w:rsidRDefault="00383627" w:rsidP="000B2792">
      <w:pPr>
        <w:pStyle w:val="Body"/>
      </w:pPr>
      <w:r w:rsidRPr="00D13B67">
        <w:t>Inclusive design prioritizes the use of inclusive processes and tools to ensure</w:t>
      </w:r>
      <w:r w:rsidR="000C3108" w:rsidRPr="00D13B67">
        <w:t xml:space="preserve"> the equitable participation of </w:t>
      </w:r>
      <w:r w:rsidR="00735412" w:rsidRPr="00D13B67">
        <w:t>the greatest</w:t>
      </w:r>
      <w:r w:rsidR="000C3108" w:rsidRPr="00D13B67">
        <w:t xml:space="preserve"> diversity in the design process</w:t>
      </w:r>
      <w:r w:rsidR="003B24CB" w:rsidRPr="00D13B67">
        <w:t xml:space="preserve"> to</w:t>
      </w:r>
      <w:r w:rsidR="00C317CE" w:rsidRPr="00D13B67">
        <w:t xml:space="preserve"> </w:t>
      </w:r>
      <w:r w:rsidR="000C3108" w:rsidRPr="00D13B67">
        <w:t>ensure</w:t>
      </w:r>
      <w:r w:rsidR="003B24CB" w:rsidRPr="00D13B67">
        <w:t>s</w:t>
      </w:r>
      <w:r w:rsidR="000C3108" w:rsidRPr="00D13B67">
        <w:t xml:space="preserve"> </w:t>
      </w:r>
      <w:r w:rsidR="009006C4" w:rsidRPr="00D13B67">
        <w:t>design outcomes are as useable as possible</w:t>
      </w:r>
      <w:r w:rsidR="00F32BFB" w:rsidRPr="00D13B67">
        <w:t xml:space="preserve"> (IDRC, 2020)</w:t>
      </w:r>
      <w:r w:rsidR="009006C4" w:rsidRPr="00D13B67">
        <w:t xml:space="preserve">. </w:t>
      </w:r>
      <w:r w:rsidR="00F32BFB" w:rsidRPr="00D13B67">
        <w:t xml:space="preserve">This includes accessible technology, inclusive meetings and communication, and </w:t>
      </w:r>
      <w:r w:rsidR="00511B17" w:rsidRPr="00D13B67">
        <w:t>environments that are welcoming and useful to all. The inclusion of unique perspectives</w:t>
      </w:r>
      <w:r w:rsidR="004D406A" w:rsidRPr="00D13B67">
        <w:t xml:space="preserve">, </w:t>
      </w:r>
      <w:r w:rsidR="002A55FA" w:rsidRPr="00D13B67">
        <w:t xml:space="preserve">use of </w:t>
      </w:r>
      <w:r w:rsidR="004D406A" w:rsidRPr="00D13B67">
        <w:t xml:space="preserve">shared language, and a defined framework </w:t>
      </w:r>
      <w:proofErr w:type="gramStart"/>
      <w:r w:rsidR="004D406A" w:rsidRPr="00D13B67">
        <w:t>assists</w:t>
      </w:r>
      <w:proofErr w:type="gramEnd"/>
      <w:r w:rsidR="004D406A" w:rsidRPr="00D13B67">
        <w:t xml:space="preserve"> in the design and production of </w:t>
      </w:r>
      <w:r w:rsidR="00735C42" w:rsidRPr="00D13B67">
        <w:t xml:space="preserve">items, experiences, and content that </w:t>
      </w:r>
      <w:r w:rsidR="002A55FA" w:rsidRPr="00D13B67">
        <w:t>include people without delay or remediation (Swan, 2025).</w:t>
      </w:r>
      <w:r w:rsidR="00A373D9" w:rsidRPr="00D13B67">
        <w:t xml:space="preserve"> Keates </w:t>
      </w:r>
      <w:r w:rsidR="00F7527A" w:rsidRPr="00D13B67">
        <w:t>&amp;</w:t>
      </w:r>
      <w:r w:rsidR="00A373D9" w:rsidRPr="00D13B67">
        <w:t xml:space="preserve"> Clarkson refer to the ‘knowledge loop’ of information collection</w:t>
      </w:r>
      <w:r w:rsidR="00C01EEC" w:rsidRPr="00D13B67">
        <w:t xml:space="preserve"> from the participation of diverse users which is necessary to produce validated inclusive designs (2013). The inclusion of a spectrum of participants in design</w:t>
      </w:r>
      <w:r w:rsidR="00613AE3" w:rsidRPr="00D13B67">
        <w:t xml:space="preserve"> processes</w:t>
      </w:r>
      <w:r w:rsidR="00B022D2" w:rsidRPr="00D13B67">
        <w:t xml:space="preserve"> not only creates better </w:t>
      </w:r>
      <w:r w:rsidR="00C00ADD" w:rsidRPr="00D13B67">
        <w:t>outcomes but</w:t>
      </w:r>
      <w:r w:rsidR="00B022D2" w:rsidRPr="00D13B67">
        <w:t xml:space="preserve"> undoes some preconceived notions about expertise and who</w:t>
      </w:r>
      <w:r w:rsidR="007B63BC" w:rsidRPr="00D13B67">
        <w:t xml:space="preserve">se information is valuable (Keates </w:t>
      </w:r>
      <w:r w:rsidR="00F7527A" w:rsidRPr="00D13B67">
        <w:t>&amp;</w:t>
      </w:r>
      <w:r w:rsidR="007B63BC" w:rsidRPr="00D13B67">
        <w:t xml:space="preserve"> Clarkson, 2013).</w:t>
      </w:r>
      <w:r w:rsidR="000B2792" w:rsidRPr="00D13B67">
        <w:t xml:space="preserve"> </w:t>
      </w:r>
      <w:r w:rsidR="000E3642" w:rsidRPr="00D13B67">
        <w:t xml:space="preserve">Where post-secondary has </w:t>
      </w:r>
      <w:r w:rsidR="00A56FBB" w:rsidRPr="00D13B67">
        <w:t xml:space="preserve">not </w:t>
      </w:r>
      <w:r w:rsidR="002245EE">
        <w:t>heeded</w:t>
      </w:r>
      <w:r w:rsidR="00A56FBB" w:rsidRPr="00D13B67">
        <w:t xml:space="preserve"> the voices of those who know best (i.e., disabled students with lived experience), inclusive design sees </w:t>
      </w:r>
      <w:r w:rsidR="00D72A98" w:rsidRPr="00D13B67">
        <w:t xml:space="preserve">disabled students as “knowledge holders, whose experiences give them a perspective that might be hidden” </w:t>
      </w:r>
      <w:r w:rsidR="00D72A98" w:rsidRPr="00D13B67">
        <w:lastRenderedPageBreak/>
        <w:t xml:space="preserve">(Marom </w:t>
      </w:r>
      <w:r w:rsidR="00FD079B" w:rsidRPr="00D13B67">
        <w:t>&amp;</w:t>
      </w:r>
      <w:r w:rsidR="00D72A98" w:rsidRPr="00D13B67">
        <w:t xml:space="preserve"> Hardwick, 2025, p. 513).</w:t>
      </w:r>
      <w:r w:rsidR="00A56FBB" w:rsidRPr="00D13B67">
        <w:t xml:space="preserve"> </w:t>
      </w:r>
      <w:r w:rsidR="000B2792" w:rsidRPr="00D13B67">
        <w:t>This practice also works to undo the exclusion created when expertise is presumed to be more valuable than lived experience.</w:t>
      </w:r>
    </w:p>
    <w:p w14:paraId="0CFDC422" w14:textId="77777777" w:rsidR="00761CF6" w:rsidRPr="00D13B67" w:rsidRDefault="00D312E4" w:rsidP="004759C7">
      <w:pPr>
        <w:pStyle w:val="Body"/>
      </w:pPr>
      <w:r w:rsidRPr="00D13B67">
        <w:t>C</w:t>
      </w:r>
      <w:r w:rsidR="00B85737" w:rsidRPr="00D13B67">
        <w:t>o-</w:t>
      </w:r>
      <w:r w:rsidR="003C29F6" w:rsidRPr="00D13B67">
        <w:t xml:space="preserve">design </w:t>
      </w:r>
      <w:r w:rsidRPr="00D13B67">
        <w:t>is a</w:t>
      </w:r>
      <w:r w:rsidR="00B85737" w:rsidRPr="00D13B67">
        <w:t xml:space="preserve"> </w:t>
      </w:r>
      <w:r w:rsidR="00567CF1" w:rsidRPr="00D13B67">
        <w:t xml:space="preserve">powerful method </w:t>
      </w:r>
      <w:r w:rsidRPr="00D13B67">
        <w:t xml:space="preserve">to </w:t>
      </w:r>
      <w:r w:rsidR="00567CF1" w:rsidRPr="00D13B67">
        <w:t>ensur</w:t>
      </w:r>
      <w:r w:rsidRPr="00D13B67">
        <w:t>e</w:t>
      </w:r>
      <w:r w:rsidR="00567CF1" w:rsidRPr="00D13B67">
        <w:t xml:space="preserve"> inclusion</w:t>
      </w:r>
      <w:r w:rsidRPr="00D13B67">
        <w:t xml:space="preserve"> and </w:t>
      </w:r>
      <w:r w:rsidR="006A0ADE" w:rsidRPr="00D13B67">
        <w:t xml:space="preserve">the </w:t>
      </w:r>
      <w:r w:rsidRPr="00D13B67">
        <w:t>participation of diverse users</w:t>
      </w:r>
      <w:r w:rsidR="00567CF1" w:rsidRPr="00D13B67">
        <w:t xml:space="preserve"> in the design process.</w:t>
      </w:r>
      <w:r w:rsidR="00EE4ABC" w:rsidRPr="00D13B67">
        <w:t xml:space="preserve"> Co-design </w:t>
      </w:r>
      <w:r w:rsidR="00B40A9C" w:rsidRPr="00D13B67">
        <w:t>includes traditionally excluded and marginalized voices to</w:t>
      </w:r>
      <w:r w:rsidR="00EE4ABC" w:rsidRPr="00D13B67">
        <w:t xml:space="preserve"> counter the historical dominance of expertise silencing lived experience</w:t>
      </w:r>
      <w:r w:rsidR="00B40A9C" w:rsidRPr="00D13B67">
        <w:t xml:space="preserve">. Simply, co-design is “design with, rather than designing for” (IDRC, 2023a). </w:t>
      </w:r>
      <w:r w:rsidR="00AC31A3" w:rsidRPr="00D13B67">
        <w:t xml:space="preserve">As Ashley Shew </w:t>
      </w:r>
      <w:r w:rsidR="00F83396" w:rsidRPr="00D13B67">
        <w:t xml:space="preserve">(2023) </w:t>
      </w:r>
      <w:r w:rsidR="00AC31A3" w:rsidRPr="00D13B67">
        <w:t>writes, “disabled people are the experts about disabled people” (p. 19).</w:t>
      </w:r>
      <w:r w:rsidR="00EE4ABC" w:rsidRPr="00D13B67">
        <w:t xml:space="preserve"> </w:t>
      </w:r>
      <w:r w:rsidR="00AC31A3" w:rsidRPr="00D13B67">
        <w:t xml:space="preserve">This echoes the social model of disability in which </w:t>
      </w:r>
      <w:r w:rsidR="009B5AB7" w:rsidRPr="00D13B67">
        <w:t>disabled people are no longer “passive recipients of care . . . they are experts who are leading the demand for change” (Wilson et al., 2015, p. 22).</w:t>
      </w:r>
      <w:r w:rsidR="00181BB2" w:rsidRPr="00D13B67">
        <w:t xml:space="preserve"> </w:t>
      </w:r>
      <w:r w:rsidR="006B54DD" w:rsidRPr="00D13B67">
        <w:t>H</w:t>
      </w:r>
      <w:r w:rsidR="00181BB2" w:rsidRPr="00D13B67">
        <w:t xml:space="preserve">istorically disabled people have been excluded from discussions about </w:t>
      </w:r>
      <w:r w:rsidR="006B54DD" w:rsidRPr="00D13B67">
        <w:t xml:space="preserve">their needs, particularly with regards to technology as an integrated tool in daily life (Shew, 2023). Co-design brings those voices into the process. </w:t>
      </w:r>
      <w:r w:rsidR="004759C7" w:rsidRPr="00D13B67">
        <w:t xml:space="preserve">Traditional research often dismisses the needs of outliers or ‘edge cases’ that don’t fit in the broad and homogenous ‘typical’ user. To avoid this, inclusive co-design seeks the input of “those with needs least served by existing designs” (IDRC, 2023a). This act of </w:t>
      </w:r>
      <w:r w:rsidR="00613AE3" w:rsidRPr="00D13B67">
        <w:t xml:space="preserve">deliberate </w:t>
      </w:r>
      <w:r w:rsidR="004759C7" w:rsidRPr="00D13B67">
        <w:t xml:space="preserve">inclusion ensures the voices of those most directly impacted, and coincidentally most often excluded from traditional solutions, are included and valued. </w:t>
      </w:r>
      <w:r w:rsidR="00A61E6D" w:rsidRPr="00D13B67">
        <w:t>Co-design’s emphasis on collaborati</w:t>
      </w:r>
      <w:r w:rsidR="00613AE3" w:rsidRPr="00D13B67">
        <w:t>on</w:t>
      </w:r>
      <w:r w:rsidR="00A61E6D" w:rsidRPr="00D13B67">
        <w:t xml:space="preserve"> ensures solutions are not prescribed from outside a community; instead, solutions involve active, consistent engagement to ensure designs meet the unique needs of the participating community. </w:t>
      </w:r>
      <w:r w:rsidR="00821C9A" w:rsidRPr="00D13B67">
        <w:t xml:space="preserve">Tom Shakespeare </w:t>
      </w:r>
      <w:r w:rsidR="00CA1639" w:rsidRPr="00D13B67">
        <w:t xml:space="preserve">advocates that disabled people </w:t>
      </w:r>
      <w:r w:rsidR="007D7060" w:rsidRPr="00D13B67">
        <w:t>be given “control over the [research] process, over their words and over their participation” (1996, p. 116).</w:t>
      </w:r>
      <w:r w:rsidR="00056BCB" w:rsidRPr="00D13B67">
        <w:t xml:space="preserve"> </w:t>
      </w:r>
      <w:r w:rsidR="00610F85" w:rsidRPr="00D13B67">
        <w:t>While c</w:t>
      </w:r>
      <w:r w:rsidR="00056BCB" w:rsidRPr="00D13B67">
        <w:t>o-design</w:t>
      </w:r>
      <w:r w:rsidR="00E67509" w:rsidRPr="00D13B67">
        <w:t>ing with disabled people is relatively new</w:t>
      </w:r>
      <w:r w:rsidR="00E83B45" w:rsidRPr="00D13B67">
        <w:t xml:space="preserve"> (Hendriks</w:t>
      </w:r>
      <w:r w:rsidR="00BE7C66" w:rsidRPr="00D13B67">
        <w:t xml:space="preserve"> et al., </w:t>
      </w:r>
      <w:r w:rsidR="00E83B45" w:rsidRPr="00D13B67">
        <w:t>2015)</w:t>
      </w:r>
      <w:r w:rsidR="00610F85" w:rsidRPr="00D13B67">
        <w:t>,</w:t>
      </w:r>
      <w:r w:rsidR="002124D8" w:rsidRPr="00D13B67">
        <w:t xml:space="preserve"> a </w:t>
      </w:r>
      <w:r w:rsidR="00D45662" w:rsidRPr="00D13B67">
        <w:t xml:space="preserve">notable trend in </w:t>
      </w:r>
      <w:r w:rsidR="00D45662" w:rsidRPr="00D13B67">
        <w:lastRenderedPageBreak/>
        <w:t xml:space="preserve">the existing research </w:t>
      </w:r>
      <w:r w:rsidR="003C29F6" w:rsidRPr="00D13B67">
        <w:t xml:space="preserve">emphasizes </w:t>
      </w:r>
      <w:r w:rsidR="00D45662" w:rsidRPr="00D13B67">
        <w:t>the need for processes that are flexible and accessible (Wilson et al., 2015;</w:t>
      </w:r>
      <w:r w:rsidR="00694C78" w:rsidRPr="00D13B67">
        <w:t xml:space="preserve"> </w:t>
      </w:r>
      <w:proofErr w:type="spellStart"/>
      <w:r w:rsidR="00694C78" w:rsidRPr="00D13B67">
        <w:t>Nakadara</w:t>
      </w:r>
      <w:proofErr w:type="spellEnd"/>
      <w:r w:rsidR="00694C78" w:rsidRPr="00D13B67">
        <w:t>-Kordic et al., 2017;</w:t>
      </w:r>
      <w:r w:rsidR="009F6018" w:rsidRPr="00D13B67">
        <w:t xml:space="preserve"> Carroll et al., 2018;</w:t>
      </w:r>
      <w:r w:rsidR="00D45662" w:rsidRPr="00D13B67">
        <w:t xml:space="preserve"> </w:t>
      </w:r>
      <w:proofErr w:type="spellStart"/>
      <w:r w:rsidR="00D45662" w:rsidRPr="00D13B67">
        <w:t>Labattaglia</w:t>
      </w:r>
      <w:proofErr w:type="spellEnd"/>
      <w:r w:rsidR="00D45662" w:rsidRPr="00D13B67">
        <w:t xml:space="preserve"> et al., 2023</w:t>
      </w:r>
      <w:r w:rsidR="009F6018" w:rsidRPr="00D13B67">
        <w:t>).</w:t>
      </w:r>
      <w:r w:rsidR="007E17E2" w:rsidRPr="00D13B67">
        <w:t xml:space="preserve"> </w:t>
      </w:r>
    </w:p>
    <w:p w14:paraId="48F57413" w14:textId="3F0A6627" w:rsidR="00A61E6D" w:rsidRPr="00D13B67" w:rsidRDefault="007E17E2" w:rsidP="004759C7">
      <w:pPr>
        <w:pStyle w:val="Body"/>
      </w:pPr>
      <w:r w:rsidRPr="00D13B67">
        <w:t xml:space="preserve">Inclusive research should involve not only collaborative work, but also the sharing and discussion of results (Hayes, 2011; </w:t>
      </w:r>
      <w:proofErr w:type="gramStart"/>
      <w:r w:rsidRPr="00D13B67">
        <w:t>May,</w:t>
      </w:r>
      <w:proofErr w:type="gramEnd"/>
      <w:r w:rsidRPr="00D13B67">
        <w:t xml:space="preserve"> 2024).</w:t>
      </w:r>
      <w:r w:rsidR="00B36450" w:rsidRPr="00D13B67">
        <w:t xml:space="preserve"> By including those most impacted, inclusive co-design is more likely to create solutions that are contextually appropriate and familiar to the impacted communities. This helps ensure solutions are sustainable and more likely to be adopted widely (IDRC, 2023a).</w:t>
      </w:r>
      <w:r w:rsidRPr="00D13B67">
        <w:t xml:space="preserve"> The student </w:t>
      </w:r>
      <w:r w:rsidR="00B50D0E" w:rsidRPr="00D13B67">
        <w:t>co-designers</w:t>
      </w:r>
      <w:r w:rsidRPr="00D13B67">
        <w:t xml:space="preserve"> in this work were directly involved in not only the </w:t>
      </w:r>
      <w:r w:rsidR="00EB08FE" w:rsidRPr="00D13B67">
        <w:t>initial interview portion, but also the creation of the resource to be shared with phase 2 participants and the results section of this report.</w:t>
      </w:r>
    </w:p>
    <w:p w14:paraId="2ADD34C7" w14:textId="60A0D329" w:rsidR="00F562C6" w:rsidRPr="00D13B67" w:rsidRDefault="00F562C6" w:rsidP="00F562C6">
      <w:pPr>
        <w:pStyle w:val="Heading5"/>
      </w:pPr>
      <w:r w:rsidRPr="00D13B67">
        <w:t>Broader Beneficial Impact</w:t>
      </w:r>
    </w:p>
    <w:p w14:paraId="1478AE53" w14:textId="0C3B22CA" w:rsidR="00B420FD" w:rsidRPr="00D13B67" w:rsidRDefault="000B2792" w:rsidP="00896324">
      <w:pPr>
        <w:pStyle w:val="Body"/>
      </w:pPr>
      <w:r w:rsidRPr="00D13B67">
        <w:t>Including a diverse range of users in the design process leads i</w:t>
      </w:r>
      <w:r w:rsidR="003C29F6" w:rsidRPr="00D13B67">
        <w:t>nclusive design</w:t>
      </w:r>
      <w:r w:rsidRPr="00D13B67">
        <w:t xml:space="preserve"> to create </w:t>
      </w:r>
      <w:r w:rsidR="003C29F6" w:rsidRPr="00D13B67">
        <w:t xml:space="preserve">solutions that “solves for one person and then extends to many” (Holmes, 2018, p. 104). </w:t>
      </w:r>
      <w:r w:rsidR="008E3235" w:rsidRPr="00D13B67">
        <w:t>Inclusive design rejects</w:t>
      </w:r>
      <w:r w:rsidR="003C29F6" w:rsidRPr="00D13B67">
        <w:t xml:space="preserve"> the idea of one-size-fits-all</w:t>
      </w:r>
      <w:r w:rsidR="00E9421C" w:rsidRPr="00D13B67">
        <w:t xml:space="preserve">, </w:t>
      </w:r>
      <w:r w:rsidR="001B5484">
        <w:t xml:space="preserve">instead emphasizes </w:t>
      </w:r>
      <w:r w:rsidR="008E3235" w:rsidRPr="00D13B67">
        <w:t>design</w:t>
      </w:r>
      <w:r w:rsidR="001B5484">
        <w:t>ing</w:t>
      </w:r>
      <w:r w:rsidR="008E3235" w:rsidRPr="00D13B67">
        <w:t xml:space="preserve"> for</w:t>
      </w:r>
      <w:r w:rsidR="00E9421C" w:rsidRPr="00D13B67">
        <w:t xml:space="preserve"> one-size-fits-one, and takes that solution and considers how it could help others. </w:t>
      </w:r>
      <w:r w:rsidR="00447DCA" w:rsidRPr="00D13B67">
        <w:t xml:space="preserve">As the IDRC claims, “if your design meets a diversity of needs, mainstream users’ needs will more likely also be met” (2023a). </w:t>
      </w:r>
      <w:r w:rsidR="00306B71" w:rsidRPr="00D13B67">
        <w:t xml:space="preserve">The extension of </w:t>
      </w:r>
      <w:r w:rsidR="009B1AD8" w:rsidRPr="00D13B67">
        <w:t>solutions</w:t>
      </w:r>
      <w:r w:rsidR="00306B71" w:rsidRPr="00D13B67">
        <w:t xml:space="preserve"> beyond the intended audience </w:t>
      </w:r>
      <w:r w:rsidR="00447DCA" w:rsidRPr="00D13B67">
        <w:t>represents</w:t>
      </w:r>
      <w:r w:rsidR="00306B71" w:rsidRPr="00D13B67">
        <w:t xml:space="preserve"> the</w:t>
      </w:r>
      <w:r w:rsidR="009B1AD8" w:rsidRPr="00D13B67">
        <w:t xml:space="preserve"> broader beneficial impact of inclusive design.</w:t>
      </w:r>
    </w:p>
    <w:p w14:paraId="74C464B7" w14:textId="094CE509" w:rsidR="009B1AD8" w:rsidRPr="00D13B67" w:rsidRDefault="009B1AD8" w:rsidP="0096313E">
      <w:pPr>
        <w:pStyle w:val="Body"/>
      </w:pPr>
      <w:r w:rsidRPr="00D13B67">
        <w:t xml:space="preserve">To ensure inclusively designed solutions proliferate and </w:t>
      </w:r>
      <w:r w:rsidR="006A36F4" w:rsidRPr="00D13B67">
        <w:t>benefit</w:t>
      </w:r>
      <w:r w:rsidRPr="00D13B67">
        <w:t xml:space="preserve"> as many </w:t>
      </w:r>
      <w:r w:rsidR="0045392A" w:rsidRPr="00D13B67">
        <w:t>people as possible</w:t>
      </w:r>
      <w:r w:rsidRPr="00D13B67">
        <w:t xml:space="preserve">, </w:t>
      </w:r>
      <w:r w:rsidR="0045392A" w:rsidRPr="00D13B67">
        <w:t xml:space="preserve">inclusive design must be integrated into mainstream design and production. This </w:t>
      </w:r>
      <w:r w:rsidR="00852387" w:rsidRPr="00D13B67">
        <w:t xml:space="preserve">also </w:t>
      </w:r>
      <w:r w:rsidR="0045392A" w:rsidRPr="00D13B67">
        <w:t>make</w:t>
      </w:r>
      <w:r w:rsidR="006A36F4" w:rsidRPr="00D13B67">
        <w:t>s</w:t>
      </w:r>
      <w:r w:rsidR="0045392A" w:rsidRPr="00D13B67">
        <w:t xml:space="preserve"> inclusive design solutions more affordable through </w:t>
      </w:r>
      <w:r w:rsidR="00852387" w:rsidRPr="00D13B67">
        <w:t xml:space="preserve">higher adoption and production rates (IDRC, 2016). Without integration, many users may remain unaware of </w:t>
      </w:r>
      <w:r w:rsidR="00852387" w:rsidRPr="00D13B67">
        <w:lastRenderedPageBreak/>
        <w:t>potential solutions</w:t>
      </w:r>
      <w:r w:rsidR="005D49BF" w:rsidRPr="00D13B67">
        <w:t xml:space="preserve"> and the broader beneficial impact of an inclusive design solution may only reach a small group or those with the means and motivation to seek out new ideas (IDRC, 201</w:t>
      </w:r>
      <w:r w:rsidR="00073B3C" w:rsidRPr="00D13B67">
        <w:t>6</w:t>
      </w:r>
      <w:r w:rsidR="005D49BF" w:rsidRPr="00D13B67">
        <w:t>).</w:t>
      </w:r>
      <w:r w:rsidR="00D71A76" w:rsidRPr="00D13B67">
        <w:t xml:space="preserve"> Additionally, integrating inclusive design into mainstream design will help maintain interoperability and currency; a niche design, segregated outside the mainstream sphere</w:t>
      </w:r>
      <w:r w:rsidR="0096313E" w:rsidRPr="00D13B67">
        <w:t>,</w:t>
      </w:r>
      <w:r w:rsidR="00D71A76" w:rsidRPr="00D13B67">
        <w:t xml:space="preserve"> will be forgotten</w:t>
      </w:r>
      <w:r w:rsidR="00ED04C5" w:rsidRPr="00D13B67">
        <w:t xml:space="preserve"> and left to decay (IDRC, 2020).</w:t>
      </w:r>
      <w:r w:rsidR="00EE6A06" w:rsidRPr="00D13B67">
        <w:t xml:space="preserve"> As an example (while often cited as an example of universal design)</w:t>
      </w:r>
      <w:r w:rsidR="00BF2462" w:rsidRPr="00D13B67">
        <w:t>,</w:t>
      </w:r>
      <w:r w:rsidR="00EE6A06" w:rsidRPr="00D13B67">
        <w:t xml:space="preserve"> the OXO brand Good Grips kitchen </w:t>
      </w:r>
      <w:r w:rsidR="003A14F1" w:rsidRPr="00D13B67">
        <w:t xml:space="preserve">tools were initially designed for </w:t>
      </w:r>
      <w:r w:rsidR="00ED6433" w:rsidRPr="00D13B67">
        <w:t>an individual with arthritis</w:t>
      </w:r>
      <w:r w:rsidR="00BF2462" w:rsidRPr="00D13B67">
        <w:t xml:space="preserve"> (Liston, 2017)</w:t>
      </w:r>
      <w:r w:rsidR="00ED6433" w:rsidRPr="00D13B67">
        <w:t>.</w:t>
      </w:r>
      <w:r w:rsidR="00BF2462" w:rsidRPr="00D13B67">
        <w:t xml:space="preserve"> However, by designing for people who had difficulty manipulating </w:t>
      </w:r>
      <w:r w:rsidR="00AE40F0" w:rsidRPr="00D13B67">
        <w:t>kitchen</w:t>
      </w:r>
      <w:r w:rsidR="00BF2462" w:rsidRPr="00D13B67">
        <w:t xml:space="preserve"> tools</w:t>
      </w:r>
      <w:r w:rsidR="00AE40F0" w:rsidRPr="00D13B67">
        <w:t>,</w:t>
      </w:r>
      <w:r w:rsidR="00ED6433" w:rsidRPr="00D13B67">
        <w:t xml:space="preserve"> </w:t>
      </w:r>
      <w:r w:rsidR="00647297" w:rsidRPr="00D13B67">
        <w:t>a solution with broader beneficial impact was created.</w:t>
      </w:r>
    </w:p>
    <w:p w14:paraId="32EBC6EF" w14:textId="6CB3EE6C" w:rsidR="00E2190D" w:rsidRPr="00D13B67" w:rsidRDefault="00647297" w:rsidP="003B2501">
      <w:pPr>
        <w:pStyle w:val="Body"/>
      </w:pPr>
      <w:r w:rsidRPr="00D13B67">
        <w:t>According to the IDRC, t</w:t>
      </w:r>
      <w:r w:rsidR="00576FD2" w:rsidRPr="00D13B67">
        <w:t xml:space="preserve">he wide adoption of inclusive designs is required to trigger the </w:t>
      </w:r>
      <w:r w:rsidRPr="00D13B67">
        <w:t>‘</w:t>
      </w:r>
      <w:r w:rsidR="00576FD2" w:rsidRPr="00D13B67">
        <w:t>virtuous cycle of inclusion</w:t>
      </w:r>
      <w:r w:rsidR="00B24E6E" w:rsidRPr="00D13B67">
        <w:t>.</w:t>
      </w:r>
      <w:r w:rsidRPr="00D13B67">
        <w:t>’</w:t>
      </w:r>
      <w:r w:rsidR="00B24E6E" w:rsidRPr="00D13B67">
        <w:t xml:space="preserve"> Reaction to change can be negative</w:t>
      </w:r>
      <w:r w:rsidR="00E15F9A" w:rsidRPr="00D13B67">
        <w:t>,</w:t>
      </w:r>
      <w:r w:rsidR="00B24E6E" w:rsidRPr="00D13B67">
        <w:t xml:space="preserve"> leading to a vicious cycle</w:t>
      </w:r>
      <w:r w:rsidR="00AE40F0" w:rsidRPr="00D13B67">
        <w:t>. Or, reaction can be</w:t>
      </w:r>
      <w:r w:rsidR="00B24E6E" w:rsidRPr="00D13B67">
        <w:t xml:space="preserve"> positive</w:t>
      </w:r>
      <w:r w:rsidR="00AE40F0" w:rsidRPr="00D13B67">
        <w:t>,</w:t>
      </w:r>
      <w:r w:rsidR="00B24E6E" w:rsidRPr="00D13B67">
        <w:t xml:space="preserve"> leading to a virtuous cycle. When a design’s broader beneficial impact is integrated into the mainstream, </w:t>
      </w:r>
      <w:r w:rsidR="00881C99" w:rsidRPr="00D13B67">
        <w:t>more users benefit and are in turn able to participate</w:t>
      </w:r>
      <w:r w:rsidRPr="00D13B67">
        <w:t>,</w:t>
      </w:r>
      <w:r w:rsidR="00881C99" w:rsidRPr="00D13B67">
        <w:t xml:space="preserve"> leading to more inclusive experiences and design in the future (IDRC, 2016). </w:t>
      </w:r>
      <w:r w:rsidR="008328DA" w:rsidRPr="00D13B67">
        <w:t xml:space="preserve">As inclusive design often begins at the margins, the virtuous cycle </w:t>
      </w:r>
      <w:r w:rsidR="00385998" w:rsidRPr="00D13B67">
        <w:t>pulls the ‘outlier’ into the mainstream</w:t>
      </w:r>
      <w:r w:rsidRPr="00D13B67">
        <w:t xml:space="preserve"> which</w:t>
      </w:r>
      <w:r w:rsidR="00332C3C" w:rsidRPr="00D13B67">
        <w:t xml:space="preserve"> increas</w:t>
      </w:r>
      <w:r w:rsidRPr="00D13B67">
        <w:t>es</w:t>
      </w:r>
      <w:r w:rsidR="00332C3C" w:rsidRPr="00D13B67">
        <w:t xml:space="preserve"> access, decreas</w:t>
      </w:r>
      <w:r w:rsidRPr="00D13B67">
        <w:t>es</w:t>
      </w:r>
      <w:r w:rsidR="00332C3C" w:rsidRPr="00D13B67">
        <w:t xml:space="preserve"> costs, and lead</w:t>
      </w:r>
      <w:r w:rsidRPr="00D13B67">
        <w:t>s</w:t>
      </w:r>
      <w:r w:rsidR="00332C3C" w:rsidRPr="00D13B67">
        <w:t xml:space="preserve"> to </w:t>
      </w:r>
      <w:r w:rsidR="00D07362" w:rsidRPr="00D13B67">
        <w:t xml:space="preserve">continued innovation. </w:t>
      </w:r>
      <w:r w:rsidR="0015346A" w:rsidRPr="00D13B67">
        <w:t>Inclusive designs proliferate a</w:t>
      </w:r>
      <w:r w:rsidR="00D07362" w:rsidRPr="00D13B67">
        <w:t>s more people are empowered and able to participate in the economy, research, and education</w:t>
      </w:r>
      <w:r w:rsidR="0015346A" w:rsidRPr="00D13B67">
        <w:t xml:space="preserve">. </w:t>
      </w:r>
      <w:r w:rsidR="007E3D0D" w:rsidRPr="00D13B67">
        <w:t xml:space="preserve">When post-secondary education becomes more welcoming to diverse ranges of being, there is more feedback and growth to make environments that are </w:t>
      </w:r>
      <w:r w:rsidR="00E15F9A" w:rsidRPr="00D13B67">
        <w:t xml:space="preserve">more </w:t>
      </w:r>
      <w:r w:rsidR="007E3D0D" w:rsidRPr="00D13B67">
        <w:t xml:space="preserve">welcoming to all. </w:t>
      </w:r>
      <w:r w:rsidR="00F55E68" w:rsidRPr="00D13B67">
        <w:t xml:space="preserve">By starting with something </w:t>
      </w:r>
      <w:r w:rsidR="003B2501" w:rsidRPr="00D13B67">
        <w:t>specific</w:t>
      </w:r>
      <w:r w:rsidR="00F55E68" w:rsidRPr="00D13B67">
        <w:t xml:space="preserve">, such as the accessibility of digital learning material (which has a significant broader beneficial impact), post-secondary institutions can rapidly realize the benefit of the </w:t>
      </w:r>
      <w:r w:rsidR="00F55E68" w:rsidRPr="00D13B67">
        <w:lastRenderedPageBreak/>
        <w:t xml:space="preserve">virtuous cycle of </w:t>
      </w:r>
      <w:r w:rsidR="00E15F9A" w:rsidRPr="00D13B67">
        <w:t>inclusion</w:t>
      </w:r>
      <w:r w:rsidR="00F55E68" w:rsidRPr="00D13B67">
        <w:t>.</w:t>
      </w:r>
      <w:r w:rsidR="003B2501" w:rsidRPr="00D13B67">
        <w:t xml:space="preserve"> Engaging with those most in need of accessible learning material is essential to begin this work.</w:t>
      </w:r>
      <w:r w:rsidR="008A247C" w:rsidRPr="00D13B67">
        <w:t xml:space="preserve"> As opposed to seeking universal solutions, </w:t>
      </w:r>
      <w:r w:rsidR="00BA7559" w:rsidRPr="00D13B67">
        <w:t>an inclusive design approach to digital learning material works to understand what formats work best for disabled students and if those preferred formats will work for more.</w:t>
      </w:r>
    </w:p>
    <w:p w14:paraId="7332AC4F" w14:textId="529AA1E8" w:rsidR="7A70F0E4" w:rsidRPr="00D13B67" w:rsidRDefault="00D36750" w:rsidP="00BD4642">
      <w:pPr>
        <w:pStyle w:val="Heading5"/>
      </w:pPr>
      <w:r w:rsidRPr="00D13B67">
        <w:t>Universal Design</w:t>
      </w:r>
    </w:p>
    <w:p w14:paraId="0D0C4535" w14:textId="60565CCD" w:rsidR="00F346F4" w:rsidRPr="00D13B67" w:rsidRDefault="00D52D04" w:rsidP="00E42105">
      <w:pPr>
        <w:pStyle w:val="Body"/>
      </w:pPr>
      <w:r w:rsidRPr="00D13B67">
        <w:t xml:space="preserve">Universal </w:t>
      </w:r>
      <w:r w:rsidR="000D759B">
        <w:t>d</w:t>
      </w:r>
      <w:r w:rsidRPr="00D13B67">
        <w:t>esign and Universal Design for Learning</w:t>
      </w:r>
      <w:r w:rsidR="000D759B">
        <w:t xml:space="preserve"> (UDL)</w:t>
      </w:r>
      <w:r w:rsidRPr="00D13B67">
        <w:t xml:space="preserve"> are closely related to </w:t>
      </w:r>
      <w:r w:rsidR="00AA321D" w:rsidRPr="00D13B67">
        <w:t>inclusive design.</w:t>
      </w:r>
      <w:r w:rsidRPr="00D13B67">
        <w:t xml:space="preserve"> However, universal design </w:t>
      </w:r>
      <w:r w:rsidR="00AA321D" w:rsidRPr="00D13B67">
        <w:t>promotes</w:t>
      </w:r>
      <w:r w:rsidRPr="00D13B67">
        <w:t xml:space="preserve"> the idea that a perfect solution can be create</w:t>
      </w:r>
      <w:r w:rsidR="00520B6C" w:rsidRPr="00D13B67">
        <w:t>d</w:t>
      </w:r>
      <w:r w:rsidRPr="00D13B67">
        <w:t xml:space="preserve"> to fit all users whereas inclusive design </w:t>
      </w:r>
      <w:r w:rsidR="006C140F" w:rsidRPr="00D13B67">
        <w:t>emphasizes design that fits one individual</w:t>
      </w:r>
      <w:r w:rsidR="000773C1" w:rsidRPr="00D13B67">
        <w:t xml:space="preserve"> </w:t>
      </w:r>
      <w:r w:rsidR="00D803A0" w:rsidRPr="00D13B67">
        <w:t xml:space="preserve">and </w:t>
      </w:r>
      <w:r w:rsidR="000773C1" w:rsidRPr="00D13B67">
        <w:t>can be expanded to benefit many (</w:t>
      </w:r>
      <w:r w:rsidR="009041F8" w:rsidRPr="00D13B67">
        <w:t>Holmes, 2018).</w:t>
      </w:r>
      <w:r w:rsidR="00D51AD2" w:rsidRPr="00D13B67">
        <w:t xml:space="preserve"> </w:t>
      </w:r>
      <w:r w:rsidR="003A5C0A" w:rsidRPr="00D13B67">
        <w:rPr>
          <w:rFonts w:ascii="Aptos" w:eastAsia="Aptos" w:hAnsi="Aptos" w:cs="Aptos"/>
          <w:color w:val="000000" w:themeColor="text1"/>
        </w:rPr>
        <w:t>Inclusive design takes this sentiment to a stage where design</w:t>
      </w:r>
      <w:r w:rsidR="00950B02" w:rsidRPr="00D13B67">
        <w:rPr>
          <w:rFonts w:ascii="Aptos" w:eastAsia="Aptos" w:hAnsi="Aptos" w:cs="Aptos"/>
          <w:color w:val="000000" w:themeColor="text1"/>
        </w:rPr>
        <w:t xml:space="preserve">s </w:t>
      </w:r>
      <w:r w:rsidR="008F2D4C" w:rsidRPr="00D13B67">
        <w:rPr>
          <w:rFonts w:ascii="Aptos" w:eastAsia="Aptos" w:hAnsi="Aptos" w:cs="Aptos"/>
          <w:color w:val="000000" w:themeColor="text1"/>
        </w:rPr>
        <w:t xml:space="preserve">not only </w:t>
      </w:r>
      <w:r w:rsidR="00950B02" w:rsidRPr="00D13B67">
        <w:rPr>
          <w:rFonts w:ascii="Aptos" w:eastAsia="Aptos" w:hAnsi="Aptos" w:cs="Aptos"/>
          <w:color w:val="000000" w:themeColor="text1"/>
        </w:rPr>
        <w:t>consider a diversity of ways to participate</w:t>
      </w:r>
      <w:r w:rsidR="008F2D4C" w:rsidRPr="00D13B67">
        <w:rPr>
          <w:rFonts w:ascii="Aptos" w:eastAsia="Aptos" w:hAnsi="Aptos" w:cs="Aptos"/>
          <w:color w:val="000000" w:themeColor="text1"/>
        </w:rPr>
        <w:t>,</w:t>
      </w:r>
      <w:r w:rsidR="00950B02" w:rsidRPr="00D13B67">
        <w:rPr>
          <w:rFonts w:ascii="Aptos" w:eastAsia="Aptos" w:hAnsi="Aptos" w:cs="Aptos"/>
          <w:color w:val="000000" w:themeColor="text1"/>
        </w:rPr>
        <w:t xml:space="preserve"> but everyone has a sense of belonging. </w:t>
      </w:r>
      <w:r w:rsidR="00520B6C" w:rsidRPr="00D13B67">
        <w:t xml:space="preserve">Where universal design aims to create experiences and solutions that can be used </w:t>
      </w:r>
      <w:r w:rsidR="00F46430" w:rsidRPr="00D13B67">
        <w:t xml:space="preserve">to the greatest extent possible by the greatest number of users, inclusive design emphasizes fulfilling as many individual </w:t>
      </w:r>
      <w:proofErr w:type="gramStart"/>
      <w:r w:rsidR="002E621C" w:rsidRPr="00D13B67">
        <w:t>user</w:t>
      </w:r>
      <w:proofErr w:type="gramEnd"/>
      <w:r w:rsidR="002E621C" w:rsidRPr="00D13B67">
        <w:t xml:space="preserve"> </w:t>
      </w:r>
      <w:r w:rsidR="00F46430" w:rsidRPr="00D13B67">
        <w:t xml:space="preserve">needs as possible (Kendrick, 2022). </w:t>
      </w:r>
      <w:r w:rsidR="00D51AD2" w:rsidRPr="00D13B67">
        <w:t>Universal design originates in architectural and industrial design</w:t>
      </w:r>
      <w:r w:rsidR="00E57AB4" w:rsidRPr="00D13B67">
        <w:t xml:space="preserve"> where objects are static and, barring significant work, final</w:t>
      </w:r>
      <w:r w:rsidR="00E16A3E" w:rsidRPr="00D13B67">
        <w:t xml:space="preserve">. Inclusive design, while not solely limited to the digital realm, does not need </w:t>
      </w:r>
      <w:r w:rsidR="00614F75" w:rsidRPr="00D13B67">
        <w:t>to pursue one-size-fits-all solutions</w:t>
      </w:r>
      <w:r w:rsidR="000536AF" w:rsidRPr="00D13B67">
        <w:t xml:space="preserve"> in this case,</w:t>
      </w:r>
      <w:r w:rsidR="00614F75" w:rsidRPr="00D13B67">
        <w:t xml:space="preserve"> as the flexibility of digital spaces allows for a properly designed artefact to be personalized, customized, and individualized to a one-size-fits-one configuration (IDRC, 2018; IDRC, 2020</w:t>
      </w:r>
      <w:r w:rsidR="00985F53" w:rsidRPr="00D13B67">
        <w:t xml:space="preserve">; </w:t>
      </w:r>
      <w:r w:rsidR="00985F53" w:rsidRPr="00D13B67">
        <w:rPr>
          <w:rFonts w:ascii="Aptos" w:eastAsia="Aptos" w:hAnsi="Aptos" w:cs="Aptos"/>
        </w:rPr>
        <w:t>Kendrick, 2022</w:t>
      </w:r>
      <w:r w:rsidR="00614F75" w:rsidRPr="00D13B67">
        <w:t>).</w:t>
      </w:r>
      <w:r w:rsidR="00F46430" w:rsidRPr="00D13B67">
        <w:t xml:space="preserve"> Inclusive design </w:t>
      </w:r>
      <w:r w:rsidR="00195E72" w:rsidRPr="00D13B67">
        <w:t xml:space="preserve">considers iteration and variation as key to the process </w:t>
      </w:r>
      <w:r w:rsidR="00B815FA" w:rsidRPr="00D13B67">
        <w:t xml:space="preserve">and </w:t>
      </w:r>
      <w:r w:rsidR="005B71B6" w:rsidRPr="00D13B67">
        <w:t xml:space="preserve">welcomes change </w:t>
      </w:r>
      <w:r w:rsidR="00195E72" w:rsidRPr="00D13B67">
        <w:t xml:space="preserve">where something can be tweaked or customized to best suit </w:t>
      </w:r>
      <w:r w:rsidR="00B815FA" w:rsidRPr="00D13B67">
        <w:t>each</w:t>
      </w:r>
      <w:r w:rsidR="00195E72" w:rsidRPr="00D13B67">
        <w:t xml:space="preserve"> user</w:t>
      </w:r>
      <w:r w:rsidR="005B71B6" w:rsidRPr="00D13B67">
        <w:t xml:space="preserve"> </w:t>
      </w:r>
      <w:r w:rsidR="00195E72" w:rsidRPr="00D13B67">
        <w:t>(Kendrick, 2022).</w:t>
      </w:r>
      <w:r w:rsidR="006A5EEB" w:rsidRPr="00D13B67">
        <w:t xml:space="preserve"> </w:t>
      </w:r>
      <w:r w:rsidR="00914836" w:rsidRPr="00D13B67">
        <w:t>Universal design excel</w:t>
      </w:r>
      <w:r w:rsidR="00761212" w:rsidRPr="00D13B67">
        <w:t>s</w:t>
      </w:r>
      <w:r w:rsidR="00914836" w:rsidRPr="00D13B67">
        <w:t xml:space="preserve"> at describing the qualities of a final product</w:t>
      </w:r>
      <w:r w:rsidR="00DD4128" w:rsidRPr="00D13B67">
        <w:t xml:space="preserve">, where inclusive design </w:t>
      </w:r>
      <w:r w:rsidR="00A25906" w:rsidRPr="00D13B67">
        <w:t xml:space="preserve">considers the process of arriving at </w:t>
      </w:r>
      <w:r w:rsidR="005B71B6" w:rsidRPr="00D13B67">
        <w:t xml:space="preserve">a </w:t>
      </w:r>
      <w:r w:rsidR="00A25906" w:rsidRPr="00D13B67">
        <w:t xml:space="preserve">solution or </w:t>
      </w:r>
      <w:r w:rsidR="00A25906" w:rsidRPr="00D13B67">
        <w:lastRenderedPageBreak/>
        <w:t>product (Holmes, 2018). While universal design aims to create experiences that work for everyone</w:t>
      </w:r>
      <w:r w:rsidR="0049417D" w:rsidRPr="00D13B67">
        <w:t>,</w:t>
      </w:r>
      <w:r w:rsidR="00F90C00" w:rsidRPr="00D13B67">
        <w:t xml:space="preserve"> it does not require the input of those most impacted in the design process;</w:t>
      </w:r>
      <w:r w:rsidR="00A25906" w:rsidRPr="00D13B67">
        <w:t xml:space="preserve"> inclusive design emphasizes the inclusion of </w:t>
      </w:r>
      <w:r w:rsidR="00922070" w:rsidRPr="00D13B67">
        <w:t xml:space="preserve">traditionally excluded groups to ensure solutions understand and enable people regardless of their </w:t>
      </w:r>
      <w:r w:rsidR="003A789C" w:rsidRPr="00D13B67">
        <w:t xml:space="preserve">access means (Holmes, 2018; IDRC, 2018; Kendrick, 2022). </w:t>
      </w:r>
      <w:r w:rsidR="00F346F4" w:rsidRPr="00D13B67">
        <w:t xml:space="preserve">For </w:t>
      </w:r>
      <w:r w:rsidR="00B31DDD" w:rsidRPr="00D13B67">
        <w:t xml:space="preserve">additional comparison of universal design/universal design for learning and inclusive design, consider </w:t>
      </w:r>
      <w:r w:rsidR="00B71409" w:rsidRPr="00D13B67">
        <w:t xml:space="preserve">Jarman et al. (2023), </w:t>
      </w:r>
      <w:r w:rsidR="00DD4128" w:rsidRPr="00D13B67">
        <w:t xml:space="preserve">Quirke &amp; Galvin (2025), </w:t>
      </w:r>
      <w:r w:rsidR="00B71409" w:rsidRPr="00D13B67">
        <w:t xml:space="preserve">and </w:t>
      </w:r>
      <w:proofErr w:type="spellStart"/>
      <w:r w:rsidR="00D3206F" w:rsidRPr="00D13B67">
        <w:t>Timuş</w:t>
      </w:r>
      <w:proofErr w:type="spellEnd"/>
      <w:r w:rsidR="00D3206F" w:rsidRPr="00D13B67">
        <w:t xml:space="preserve"> et al. (2024)</w:t>
      </w:r>
      <w:r w:rsidR="00DD4128" w:rsidRPr="00D13B67">
        <w:t>.</w:t>
      </w:r>
      <w:r w:rsidR="005D1826" w:rsidRPr="00D13B67">
        <w:t xml:space="preserve"> Dolmage (2017) argues that universal design</w:t>
      </w:r>
      <w:r w:rsidR="00CB4740" w:rsidRPr="00D13B67">
        <w:t xml:space="preserve">’s intent to assume a </w:t>
      </w:r>
      <w:r w:rsidR="008B332A" w:rsidRPr="00D13B67">
        <w:t xml:space="preserve">comprehensive mode that includes all “becomes a way to erase disability altogether” when disability isn’t </w:t>
      </w:r>
      <w:r w:rsidR="00E73EB3" w:rsidRPr="00D13B67">
        <w:t xml:space="preserve">“a valued and agentive identity in the classroom” (p. 146). While universal design </w:t>
      </w:r>
      <w:r w:rsidR="004E2318" w:rsidRPr="00D13B67">
        <w:t xml:space="preserve">has </w:t>
      </w:r>
      <w:r w:rsidR="0049417D" w:rsidRPr="00D13B67">
        <w:t>impacted</w:t>
      </w:r>
      <w:r w:rsidR="00E73EB3" w:rsidRPr="00D13B67">
        <w:t xml:space="preserve"> policy </w:t>
      </w:r>
      <w:r w:rsidR="004E2318" w:rsidRPr="00D13B67">
        <w:t>and practice, the statistics on disability and accommodations suggest it is not working</w:t>
      </w:r>
      <w:r w:rsidR="0049417D" w:rsidRPr="00D13B67">
        <w:t xml:space="preserve"> for education. Inclusive design can augment, assist, and improve existing practices.</w:t>
      </w:r>
    </w:p>
    <w:p w14:paraId="33DA3A9C" w14:textId="11102CAA" w:rsidR="005D1BE3" w:rsidRPr="00D13B67" w:rsidRDefault="005D1BE3" w:rsidP="00BD4642">
      <w:pPr>
        <w:pStyle w:val="Heading5"/>
      </w:pPr>
      <w:r w:rsidRPr="00D13B67">
        <w:t>Accessibility</w:t>
      </w:r>
    </w:p>
    <w:p w14:paraId="388EBB1F" w14:textId="0E12B484" w:rsidR="003A2DD6" w:rsidRPr="00D13B67" w:rsidRDefault="00B457E8" w:rsidP="006A4AE6">
      <w:pPr>
        <w:pStyle w:val="Body"/>
      </w:pPr>
      <w:r w:rsidRPr="00D13B67">
        <w:t xml:space="preserve">Accessibility is closely </w:t>
      </w:r>
      <w:r w:rsidR="003A3CEB" w:rsidRPr="00D13B67">
        <w:t>related</w:t>
      </w:r>
      <w:r w:rsidRPr="00D13B67">
        <w:t xml:space="preserve"> to inclusive design.</w:t>
      </w:r>
      <w:r w:rsidR="00466922" w:rsidRPr="00D13B67">
        <w:t xml:space="preserve"> Accessibility is a state </w:t>
      </w:r>
      <w:r w:rsidR="00E42105" w:rsidRPr="00D13B67">
        <w:t>in which</w:t>
      </w:r>
      <w:r w:rsidR="008E40D5" w:rsidRPr="00D13B67">
        <w:t xml:space="preserve"> people with disabilit</w:t>
      </w:r>
      <w:r w:rsidR="00E42105" w:rsidRPr="00D13B67">
        <w:t>ies</w:t>
      </w:r>
      <w:r w:rsidR="008E40D5" w:rsidRPr="00D13B67">
        <w:t xml:space="preserve"> can use something</w:t>
      </w:r>
      <w:r w:rsidR="00466922" w:rsidRPr="00D13B67">
        <w:t xml:space="preserve">: </w:t>
      </w:r>
      <w:r w:rsidR="00E42105" w:rsidRPr="00D13B67">
        <w:t xml:space="preserve">as examples, </w:t>
      </w:r>
      <w:r w:rsidR="00466922" w:rsidRPr="00D13B67">
        <w:t xml:space="preserve">a building </w:t>
      </w:r>
      <w:r w:rsidR="000707B2" w:rsidRPr="00D13B67">
        <w:t>may be</w:t>
      </w:r>
      <w:r w:rsidR="00466922" w:rsidRPr="00D13B67">
        <w:t xml:space="preserve"> accessible</w:t>
      </w:r>
      <w:r w:rsidR="000707B2" w:rsidRPr="00D13B67">
        <w:t xml:space="preserve"> if it has ramps and braille signage</w:t>
      </w:r>
      <w:r w:rsidR="00466922" w:rsidRPr="00D13B67">
        <w:t xml:space="preserve">, a website </w:t>
      </w:r>
      <w:r w:rsidR="000707B2" w:rsidRPr="00D13B67">
        <w:t>may be accessible if designed to WCAG standards</w:t>
      </w:r>
      <w:r w:rsidR="00466922" w:rsidRPr="00D13B67">
        <w:t>,</w:t>
      </w:r>
      <w:r w:rsidR="00E42105" w:rsidRPr="00D13B67">
        <w:t xml:space="preserve"> and</w:t>
      </w:r>
      <w:r w:rsidR="00466922" w:rsidRPr="00D13B67">
        <w:t xml:space="preserve"> </w:t>
      </w:r>
      <w:r w:rsidR="00A44DCE" w:rsidRPr="00D13B67">
        <w:t xml:space="preserve">a captioned movie is accessible. However, accessibility is a bare minimum that does not consider </w:t>
      </w:r>
      <w:r w:rsidR="008E40D5" w:rsidRPr="00D13B67">
        <w:t xml:space="preserve">user preferences, dignity, or </w:t>
      </w:r>
      <w:r w:rsidR="00ED3F11" w:rsidRPr="00D13B67">
        <w:t>if an accessible experience is enjoyable and useful</w:t>
      </w:r>
      <w:r w:rsidR="008E40D5" w:rsidRPr="00D13B67">
        <w:t xml:space="preserve"> (Holmes, 2018; Kendrick, 2022</w:t>
      </w:r>
      <w:r w:rsidR="00ED3F11" w:rsidRPr="00D13B67">
        <w:t>; Swan, 2025</w:t>
      </w:r>
      <w:r w:rsidR="008E40D5" w:rsidRPr="00D13B67">
        <w:t xml:space="preserve">). </w:t>
      </w:r>
      <w:r w:rsidR="00992042" w:rsidRPr="00D13B67">
        <w:t>Accessibility is a core intention of inclusive design, but a</w:t>
      </w:r>
      <w:r w:rsidR="008E40D5" w:rsidRPr="00D13B67">
        <w:t>ccessibility only provides access.</w:t>
      </w:r>
      <w:r w:rsidR="005C004E" w:rsidRPr="00D13B67">
        <w:t xml:space="preserve"> </w:t>
      </w:r>
      <w:r w:rsidR="00150BB7" w:rsidRPr="00D13B67">
        <w:t>Designers and producers must know the user, the context, and the goal of a solution</w:t>
      </w:r>
      <w:r w:rsidR="009D190C" w:rsidRPr="00D13B67">
        <w:t xml:space="preserve"> and so</w:t>
      </w:r>
      <w:r w:rsidR="00B53CC5" w:rsidRPr="00D13B67">
        <w:t xml:space="preserve"> inclusive design demands the inclusion of marginalized and excluded users in the design process </w:t>
      </w:r>
      <w:r w:rsidR="00B53CC5" w:rsidRPr="00D13B67">
        <w:lastRenderedPageBreak/>
        <w:t>(IDRC, 2018). While ‘accessible’ may be defined based on criteria or legislation (as discussed in section 2.</w:t>
      </w:r>
      <w:r w:rsidR="00796810" w:rsidRPr="00D13B67">
        <w:t>3</w:t>
      </w:r>
      <w:r w:rsidR="00B53CC5" w:rsidRPr="00D13B67">
        <w:t>)</w:t>
      </w:r>
      <w:r w:rsidR="00E67104" w:rsidRPr="00D13B67">
        <w:t>, inclusive design seeks to augment those standards to move beyond compliance</w:t>
      </w:r>
      <w:r w:rsidR="007D661D" w:rsidRPr="00D13B67">
        <w:t xml:space="preserve"> </w:t>
      </w:r>
      <w:r w:rsidR="00083B04" w:rsidRPr="00D13B67">
        <w:t xml:space="preserve">and access to </w:t>
      </w:r>
      <w:r w:rsidR="007D661D" w:rsidRPr="00D13B67">
        <w:t>welcoming, inclusive, and usable experience</w:t>
      </w:r>
      <w:r w:rsidR="00083B04" w:rsidRPr="00D13B67">
        <w:t>s</w:t>
      </w:r>
      <w:r w:rsidR="007D661D" w:rsidRPr="00D13B67">
        <w:t xml:space="preserve"> (Swan, 2025).</w:t>
      </w:r>
      <w:r w:rsidR="00D315DF" w:rsidRPr="00D13B67">
        <w:t xml:space="preserve"> </w:t>
      </w:r>
      <w:r w:rsidR="006C761E" w:rsidRPr="00D13B67">
        <w:t xml:space="preserve">Accessibility is a state in which </w:t>
      </w:r>
      <w:r w:rsidR="00265D22" w:rsidRPr="00D13B67">
        <w:t xml:space="preserve">disabled people </w:t>
      </w:r>
      <w:r w:rsidR="003108BC" w:rsidRPr="00D13B67">
        <w:t>can</w:t>
      </w:r>
      <w:r w:rsidR="00265D22" w:rsidRPr="00D13B67">
        <w:t xml:space="preserve"> access something; inclusive design is a process to create</w:t>
      </w:r>
      <w:r w:rsidR="00C96FC3" w:rsidRPr="00D13B67">
        <w:t xml:space="preserve"> things that are</w:t>
      </w:r>
      <w:r w:rsidR="00265D22" w:rsidRPr="00D13B67">
        <w:t xml:space="preserve"> accessible, useful, and </w:t>
      </w:r>
      <w:r w:rsidR="00C96FC3" w:rsidRPr="00D13B67">
        <w:t xml:space="preserve">easy to use. </w:t>
      </w:r>
      <w:r w:rsidR="004E5FEE" w:rsidRPr="00D13B67">
        <w:t xml:space="preserve">Universal design </w:t>
      </w:r>
      <w:r w:rsidR="00083B04" w:rsidRPr="00D13B67">
        <w:t>m</w:t>
      </w:r>
      <w:r w:rsidR="00F70A9E">
        <w:t>a</w:t>
      </w:r>
      <w:r w:rsidR="00083B04" w:rsidRPr="00D13B67">
        <w:t>y enhance</w:t>
      </w:r>
      <w:r w:rsidR="004E5FEE" w:rsidRPr="00D13B67">
        <w:t xml:space="preserve"> accessibility </w:t>
      </w:r>
      <w:r w:rsidR="00E80F99" w:rsidRPr="00D13B67">
        <w:t>but</w:t>
      </w:r>
      <w:r w:rsidR="004E5FEE" w:rsidRPr="00D13B67">
        <w:t xml:space="preserve"> inclusive design </w:t>
      </w:r>
      <w:r w:rsidR="007E712E" w:rsidRPr="00D13B67">
        <w:t>pushes</w:t>
      </w:r>
      <w:r w:rsidR="004E5FEE" w:rsidRPr="00D13B67">
        <w:t xml:space="preserve"> accessibility </w:t>
      </w:r>
      <w:r w:rsidR="007E712E" w:rsidRPr="00D13B67">
        <w:t>to be user-centric, useful, and inclusive. Universal design for learning is an incredibly popular initiative</w:t>
      </w:r>
      <w:r w:rsidR="00A42A79" w:rsidRPr="00D13B67">
        <w:t xml:space="preserve"> and is not without its merits. However, instead of assuming solutions that should work for the greatest number, this project </w:t>
      </w:r>
      <w:r w:rsidR="00A82F1E" w:rsidRPr="00D13B67">
        <w:t>works</w:t>
      </w:r>
      <w:r w:rsidR="00A42A79" w:rsidRPr="00D13B67">
        <w:t xml:space="preserve"> to consult those most impacted by inaccessible digital learning material and </w:t>
      </w:r>
      <w:r w:rsidR="006A4AE6" w:rsidRPr="00D13B67">
        <w:t>engage</w:t>
      </w:r>
      <w:r w:rsidR="00A42A79" w:rsidRPr="00D13B67">
        <w:t xml:space="preserve"> th</w:t>
      </w:r>
      <w:r w:rsidR="00E80F99" w:rsidRPr="00D13B67">
        <w:t xml:space="preserve">at expertise </w:t>
      </w:r>
      <w:r w:rsidR="00A42A79" w:rsidRPr="00D13B67">
        <w:t>to create inclusive learning experiences.</w:t>
      </w:r>
    </w:p>
    <w:p w14:paraId="59C86739" w14:textId="0169F6E2" w:rsidR="00CD77CE" w:rsidRPr="00D13B67" w:rsidRDefault="00CD77CE" w:rsidP="001D4328">
      <w:pPr>
        <w:pStyle w:val="Heading4"/>
      </w:pPr>
      <w:bookmarkStart w:id="29" w:name="_Toc228867984"/>
      <w:r w:rsidRPr="00D13B67">
        <w:t>3.</w:t>
      </w:r>
      <w:r w:rsidR="001D4328" w:rsidRPr="00D13B67">
        <w:t>1.</w:t>
      </w:r>
      <w:r w:rsidRPr="00D13B67">
        <w:t>2 Action Research</w:t>
      </w:r>
      <w:bookmarkEnd w:id="29"/>
    </w:p>
    <w:p w14:paraId="056C9C1A" w14:textId="519FC2C7" w:rsidR="00F66193" w:rsidRPr="00D13B67" w:rsidRDefault="00615B5C" w:rsidP="00F654B4">
      <w:pPr>
        <w:pStyle w:val="Body"/>
        <w:rPr>
          <w:rStyle w:val="highlight"/>
        </w:rPr>
      </w:pPr>
      <w:r w:rsidRPr="00D13B67">
        <w:t xml:space="preserve">The essential </w:t>
      </w:r>
      <w:r w:rsidR="001B65BB" w:rsidRPr="00D13B67">
        <w:t>goal</w:t>
      </w:r>
      <w:r w:rsidRPr="00D13B67">
        <w:t xml:space="preserve"> of this research is to improve the experience </w:t>
      </w:r>
      <w:r w:rsidR="00663F3C" w:rsidRPr="00D13B67">
        <w:t>of</w:t>
      </w:r>
      <w:r w:rsidR="001D7106" w:rsidRPr="00D13B67">
        <w:t xml:space="preserve"> </w:t>
      </w:r>
      <w:r w:rsidRPr="00D13B67">
        <w:t>disabled</w:t>
      </w:r>
      <w:r w:rsidR="001D7106" w:rsidRPr="00D13B67">
        <w:t xml:space="preserve"> </w:t>
      </w:r>
      <w:r w:rsidRPr="00D13B67">
        <w:t xml:space="preserve">students when interacting with digital learning material. </w:t>
      </w:r>
      <w:r w:rsidR="0082090E" w:rsidRPr="00D13B67">
        <w:t>Research</w:t>
      </w:r>
      <w:r w:rsidR="00A11C46" w:rsidRPr="00D13B67">
        <w:t xml:space="preserve"> </w:t>
      </w:r>
      <w:r w:rsidR="001B65BB" w:rsidRPr="00D13B67">
        <w:t>sometimes</w:t>
      </w:r>
      <w:r w:rsidR="00A11C46" w:rsidRPr="00D13B67">
        <w:t xml:space="preserve"> </w:t>
      </w:r>
      <w:r w:rsidR="0091548E" w:rsidRPr="00D13B67">
        <w:t>falls</w:t>
      </w:r>
      <w:r w:rsidR="00A11C46" w:rsidRPr="00D13B67">
        <w:t xml:space="preserve"> into </w:t>
      </w:r>
      <w:r w:rsidR="0017240B" w:rsidRPr="00D13B67">
        <w:t xml:space="preserve">a </w:t>
      </w:r>
      <w:r w:rsidR="00A11C46" w:rsidRPr="00D13B67">
        <w:t xml:space="preserve">trap </w:t>
      </w:r>
      <w:r w:rsidR="0082090E" w:rsidRPr="00D13B67">
        <w:t>where “</w:t>
      </w:r>
      <w:r w:rsidR="00A11C46" w:rsidRPr="00D13B67">
        <w:t>you end up doing the document rather than doing the doin</w:t>
      </w:r>
      <w:r w:rsidR="0017240B" w:rsidRPr="00D13B67">
        <w:t>g</w:t>
      </w:r>
      <w:r w:rsidR="00A11C46" w:rsidRPr="00D13B67">
        <w:t>” (Ahmed, 2007, p. 599)</w:t>
      </w:r>
      <w:r w:rsidR="0082090E" w:rsidRPr="00D13B67">
        <w:t>.</w:t>
      </w:r>
      <w:r w:rsidRPr="00D13B67">
        <w:t xml:space="preserve"> To ensure this research is grounded in tangible action</w:t>
      </w:r>
      <w:r w:rsidR="00031C61" w:rsidRPr="00D13B67">
        <w:t xml:space="preserve">, action research is employed as a </w:t>
      </w:r>
      <w:r w:rsidR="0035221E" w:rsidRPr="00D13B67">
        <w:t>complementary</w:t>
      </w:r>
      <w:r w:rsidR="00031C61" w:rsidRPr="00D13B67">
        <w:t xml:space="preserve"> methodology. </w:t>
      </w:r>
      <w:r w:rsidR="002D6790" w:rsidRPr="00D13B67">
        <w:t xml:space="preserve">Action research may be described as “learning through action” (Hayes, 2011, p.9). </w:t>
      </w:r>
      <w:r w:rsidR="00663F3C" w:rsidRPr="00D13B67">
        <w:t>Action research is</w:t>
      </w:r>
      <w:r w:rsidR="00F35F28" w:rsidRPr="00D13B67">
        <w:t xml:space="preserve"> </w:t>
      </w:r>
      <w:r w:rsidR="008706DD" w:rsidRPr="00D13B67">
        <w:t>generally small scale, localized, and focused</w:t>
      </w:r>
      <w:r w:rsidR="00901405" w:rsidRPr="00D13B67">
        <w:t xml:space="preserve"> on discovering or developing changes to practice (Donato, 2003)</w:t>
      </w:r>
      <w:r w:rsidR="00E8362A" w:rsidRPr="00D13B67">
        <w:t xml:space="preserve">. </w:t>
      </w:r>
      <w:r w:rsidR="006C2F80" w:rsidRPr="00D13B67">
        <w:t xml:space="preserve">A “problem focused, context-specific and future oriented” methodology, action research is </w:t>
      </w:r>
      <w:r w:rsidR="00384302" w:rsidRPr="00D13B67">
        <w:t xml:space="preserve">often longitudinal, explanatory, focused on change, and concerned with improvement in practice (Draper, 2004, p. 35). </w:t>
      </w:r>
      <w:r w:rsidR="00901405" w:rsidRPr="00D13B67">
        <w:t>Action research includes the practi</w:t>
      </w:r>
      <w:r w:rsidR="004A66B3" w:rsidRPr="00D13B67">
        <w:t>ti</w:t>
      </w:r>
      <w:r w:rsidR="00901405" w:rsidRPr="00D13B67">
        <w:t>oners of what is being studied</w:t>
      </w:r>
      <w:r w:rsidR="00AB5DB5" w:rsidRPr="00D13B67">
        <w:rPr>
          <w:rFonts w:ascii="Aptos" w:hAnsi="Aptos"/>
        </w:rPr>
        <w:t>—</w:t>
      </w:r>
      <w:r w:rsidR="00901405" w:rsidRPr="00D13B67">
        <w:t xml:space="preserve">in this </w:t>
      </w:r>
      <w:r w:rsidR="00901405" w:rsidRPr="00D13B67">
        <w:lastRenderedPageBreak/>
        <w:t>case, the use of digital learning material by staff and instructors at Langara college</w:t>
      </w:r>
      <w:r w:rsidR="00AB5DB5" w:rsidRPr="00D13B67">
        <w:rPr>
          <w:rFonts w:ascii="Aptos" w:hAnsi="Aptos"/>
        </w:rPr>
        <w:t>—</w:t>
      </w:r>
      <w:r w:rsidR="00037769" w:rsidRPr="00D13B67">
        <w:t>acting</w:t>
      </w:r>
      <w:r w:rsidR="00AB5DB5" w:rsidRPr="00D13B67">
        <w:t xml:space="preserve"> and participating in the research simultaneously.</w:t>
      </w:r>
      <w:r w:rsidR="005B17C3" w:rsidRPr="00D13B67">
        <w:t xml:space="preserve"> </w:t>
      </w:r>
      <w:r w:rsidR="00F66193" w:rsidRPr="00D13B67">
        <w:t xml:space="preserve">Action research seeks to </w:t>
      </w:r>
      <w:r w:rsidR="00F654B4" w:rsidRPr="00D13B67">
        <w:t xml:space="preserve">study </w:t>
      </w:r>
      <w:r w:rsidR="00B26AB3" w:rsidRPr="00D13B67">
        <w:t>existing</w:t>
      </w:r>
      <w:r w:rsidR="00F654B4" w:rsidRPr="00D13B67">
        <w:t xml:space="preserve"> practice, </w:t>
      </w:r>
      <w:r w:rsidR="0035025F" w:rsidRPr="00D13B67">
        <w:t xml:space="preserve">create knowledge, </w:t>
      </w:r>
      <w:r w:rsidR="00F654B4" w:rsidRPr="00D13B67">
        <w:t>and i</w:t>
      </w:r>
      <w:r w:rsidR="0035025F" w:rsidRPr="00D13B67">
        <w:t xml:space="preserve">mplement change while improving </w:t>
      </w:r>
      <w:r w:rsidR="000B69D7" w:rsidRPr="00D13B67">
        <w:t>processes</w:t>
      </w:r>
      <w:r w:rsidR="0035025F" w:rsidRPr="00D13B67">
        <w:t xml:space="preserve"> and outcomes (Stringer, 1999). </w:t>
      </w:r>
      <w:r w:rsidR="005B17C3" w:rsidRPr="00D13B67">
        <w:t xml:space="preserve">Involving key </w:t>
      </w:r>
      <w:r w:rsidR="000B69D7" w:rsidRPr="00D13B67">
        <w:t>stakeholders</w:t>
      </w:r>
      <w:r w:rsidR="005B17C3" w:rsidRPr="00D13B67">
        <w:t xml:space="preserve"> in the research is </w:t>
      </w:r>
      <w:r w:rsidR="00A06E28" w:rsidRPr="00D13B67">
        <w:t>essential</w:t>
      </w:r>
      <w:r w:rsidR="005B17C3" w:rsidRPr="00D13B67">
        <w:t xml:space="preserve"> to </w:t>
      </w:r>
      <w:r w:rsidR="001221B7" w:rsidRPr="00D13B67">
        <w:t xml:space="preserve">ensure meaningful improvements, but action research also </w:t>
      </w:r>
      <w:r w:rsidR="007A11A3" w:rsidRPr="00D13B67">
        <w:t xml:space="preserve">seeks to “improve the rationality and justice of [participants’] practices” (Carr </w:t>
      </w:r>
      <w:r w:rsidR="00990EFD" w:rsidRPr="00D13B67">
        <w:t>&amp;</w:t>
      </w:r>
      <w:r w:rsidR="007A11A3" w:rsidRPr="00D13B67">
        <w:t xml:space="preserve"> Kemmis</w:t>
      </w:r>
      <w:r w:rsidR="00C623BA" w:rsidRPr="00D13B67">
        <w:t>,</w:t>
      </w:r>
      <w:r w:rsidR="007A11A3" w:rsidRPr="00D13B67">
        <w:t xml:space="preserve"> 1986</w:t>
      </w:r>
      <w:r w:rsidR="00C623BA" w:rsidRPr="00D13B67">
        <w:t xml:space="preserve">, p. </w:t>
      </w:r>
      <w:r w:rsidR="007A11A3" w:rsidRPr="00D13B67">
        <w:t xml:space="preserve">162), </w:t>
      </w:r>
      <w:r w:rsidR="00C623BA" w:rsidRPr="00D13B67">
        <w:t>“bring about social change</w:t>
      </w:r>
      <w:r w:rsidR="00E54D4A" w:rsidRPr="00D13B67">
        <w:t>”</w:t>
      </w:r>
      <w:r w:rsidR="00C623BA" w:rsidRPr="00D13B67">
        <w:t xml:space="preserve"> (Bogdan </w:t>
      </w:r>
      <w:r w:rsidR="00990EFD" w:rsidRPr="00D13B67">
        <w:t>&amp;</w:t>
      </w:r>
      <w:r w:rsidR="00C623BA" w:rsidRPr="00D13B67">
        <w:t xml:space="preserve"> Biklen, 1992, p. 223)</w:t>
      </w:r>
      <w:r w:rsidR="00E54D4A" w:rsidRPr="00D13B67">
        <w:t xml:space="preserve"> to “expose unjust practices” (Smith, 2017).</w:t>
      </w:r>
      <w:r w:rsidR="005F16FF" w:rsidRPr="00D13B67">
        <w:t xml:space="preserve"> </w:t>
      </w:r>
      <w:r w:rsidR="0056382A" w:rsidRPr="00D13B67">
        <w:t>As Emma May</w:t>
      </w:r>
      <w:r w:rsidR="00D0775D" w:rsidRPr="00D13B67">
        <w:t xml:space="preserve"> (2024)</w:t>
      </w:r>
      <w:r w:rsidR="0056382A" w:rsidRPr="00D13B67">
        <w:t xml:space="preserve"> write</w:t>
      </w:r>
      <w:r w:rsidR="00D0775D" w:rsidRPr="00D13B67">
        <w:t>s</w:t>
      </w:r>
      <w:r w:rsidR="0056382A" w:rsidRPr="00D13B67">
        <w:t>, action research “</w:t>
      </w:r>
      <w:r w:rsidR="00AF70C6" w:rsidRPr="00D13B67">
        <w:t>is not always political in nature, participatory research is frequently implemented by researchers who are invested in social transformation” (p. 442).</w:t>
      </w:r>
      <w:r w:rsidR="00D917BF" w:rsidRPr="00D13B67">
        <w:t xml:space="preserve"> </w:t>
      </w:r>
      <w:r w:rsidR="005F16FF" w:rsidRPr="00D13B67">
        <w:t xml:space="preserve">Ethical </w:t>
      </w:r>
      <w:r w:rsidR="000B69D7" w:rsidRPr="00D13B67">
        <w:t>concerns</w:t>
      </w:r>
      <w:r w:rsidR="005F16FF" w:rsidRPr="00D13B67">
        <w:t xml:space="preserve"> are important in the context of access, especially </w:t>
      </w:r>
      <w:r w:rsidR="00A35947" w:rsidRPr="00D13B67">
        <w:t>with consideration of disability rights as human rights.</w:t>
      </w:r>
      <w:r w:rsidR="00D917BF" w:rsidRPr="00D13B67">
        <w:t xml:space="preserve"> Action research</w:t>
      </w:r>
      <w:r w:rsidR="00344B9C" w:rsidRPr="00D13B67">
        <w:t xml:space="preserve">, with its focus on improving practice as research </w:t>
      </w:r>
      <w:r w:rsidR="00767926" w:rsidRPr="00D13B67">
        <w:t>is undertaken,</w:t>
      </w:r>
      <w:r w:rsidR="00D917BF" w:rsidRPr="00D13B67">
        <w:t xml:space="preserve"> is “consciousness in the midst of action</w:t>
      </w:r>
      <w:r w:rsidR="00964840" w:rsidRPr="00D13B67">
        <w:t>”</w:t>
      </w:r>
      <w:r w:rsidR="00D917BF" w:rsidRPr="00D13B67">
        <w:t xml:space="preserve"> </w:t>
      </w:r>
      <w:r w:rsidR="00964840" w:rsidRPr="00D13B67">
        <w:t>(</w:t>
      </w:r>
      <w:r w:rsidR="00706696" w:rsidRPr="00D13B67">
        <w:rPr>
          <w:rStyle w:val="highlight"/>
        </w:rPr>
        <w:t>Torbert, 1991</w:t>
      </w:r>
      <w:r w:rsidR="00964840" w:rsidRPr="00D13B67">
        <w:rPr>
          <w:rStyle w:val="highlight"/>
        </w:rPr>
        <w:t>,</w:t>
      </w:r>
      <w:r w:rsidR="00706696" w:rsidRPr="00D13B67">
        <w:rPr>
          <w:rStyle w:val="highlight"/>
        </w:rPr>
        <w:t xml:space="preserve"> p. 221</w:t>
      </w:r>
      <w:r w:rsidR="00964840" w:rsidRPr="00D13B67">
        <w:rPr>
          <w:rStyle w:val="highlight"/>
        </w:rPr>
        <w:t>).</w:t>
      </w:r>
      <w:r w:rsidR="0035221E" w:rsidRPr="00D13B67">
        <w:rPr>
          <w:rStyle w:val="highlight"/>
        </w:rPr>
        <w:t xml:space="preserve"> </w:t>
      </w:r>
      <w:r w:rsidR="00CB05D7" w:rsidRPr="00D13B67">
        <w:rPr>
          <w:rStyle w:val="highlight"/>
        </w:rPr>
        <w:t xml:space="preserve">This project, particularly phase </w:t>
      </w:r>
      <w:r w:rsidR="00B00F4B" w:rsidRPr="00D13B67">
        <w:rPr>
          <w:rStyle w:val="highlight"/>
        </w:rPr>
        <w:t>2</w:t>
      </w:r>
      <w:r w:rsidR="00CB05D7" w:rsidRPr="00D13B67">
        <w:rPr>
          <w:rStyle w:val="highlight"/>
        </w:rPr>
        <w:t xml:space="preserve">, seeks the active participation </w:t>
      </w:r>
      <w:r w:rsidR="00A93BFF" w:rsidRPr="00D13B67">
        <w:rPr>
          <w:rStyle w:val="highlight"/>
        </w:rPr>
        <w:t>of instructors and</w:t>
      </w:r>
      <w:r w:rsidR="00CB05D7" w:rsidRPr="00D13B67">
        <w:rPr>
          <w:rStyle w:val="highlight"/>
        </w:rPr>
        <w:t xml:space="preserve"> staff. The </w:t>
      </w:r>
      <w:r w:rsidR="000658FC" w:rsidRPr="00D13B67">
        <w:rPr>
          <w:rStyle w:val="highlight"/>
        </w:rPr>
        <w:t>influence of</w:t>
      </w:r>
      <w:r w:rsidR="00CB05D7" w:rsidRPr="00D13B67">
        <w:rPr>
          <w:rStyle w:val="highlight"/>
        </w:rPr>
        <w:t xml:space="preserve"> </w:t>
      </w:r>
      <w:r w:rsidR="00A93BFF" w:rsidRPr="00D13B67">
        <w:rPr>
          <w:rStyle w:val="highlight"/>
        </w:rPr>
        <w:t xml:space="preserve">action research </w:t>
      </w:r>
      <w:r w:rsidR="000658FC" w:rsidRPr="00D13B67">
        <w:rPr>
          <w:rStyle w:val="highlight"/>
        </w:rPr>
        <w:t>methods</w:t>
      </w:r>
      <w:r w:rsidR="00A93BFF" w:rsidRPr="00D13B67">
        <w:rPr>
          <w:rStyle w:val="highlight"/>
        </w:rPr>
        <w:t xml:space="preserve"> will largely depend on the active participation of Langara instructors and staff.</w:t>
      </w:r>
    </w:p>
    <w:p w14:paraId="176D1745" w14:textId="77777777" w:rsidR="000658FC" w:rsidRPr="00D13B67" w:rsidRDefault="00005CB8" w:rsidP="00510BBD">
      <w:pPr>
        <w:pStyle w:val="Body"/>
        <w:rPr>
          <w:rStyle w:val="highlight"/>
        </w:rPr>
      </w:pPr>
      <w:r w:rsidRPr="00D13B67">
        <w:rPr>
          <w:rStyle w:val="highlight"/>
        </w:rPr>
        <w:t xml:space="preserve">Action research was </w:t>
      </w:r>
      <w:r w:rsidR="00AF42D0" w:rsidRPr="00D13B67">
        <w:rPr>
          <w:rStyle w:val="highlight"/>
        </w:rPr>
        <w:t xml:space="preserve">first defined as a methodology by Kurt Lewin in the late-1940s to </w:t>
      </w:r>
      <w:r w:rsidR="00A35947" w:rsidRPr="00D13B67">
        <w:rPr>
          <w:rStyle w:val="highlight"/>
        </w:rPr>
        <w:t>harness</w:t>
      </w:r>
      <w:r w:rsidR="005B488F" w:rsidRPr="00D13B67">
        <w:rPr>
          <w:rStyle w:val="highlight"/>
        </w:rPr>
        <w:t xml:space="preserve"> the </w:t>
      </w:r>
      <w:r w:rsidR="00311A14" w:rsidRPr="00D13B67">
        <w:rPr>
          <w:rStyle w:val="highlight"/>
        </w:rPr>
        <w:t>willingness of social scientists</w:t>
      </w:r>
      <w:r w:rsidR="005B488F" w:rsidRPr="00D13B67">
        <w:rPr>
          <w:rStyle w:val="highlight"/>
        </w:rPr>
        <w:t xml:space="preserve"> to </w:t>
      </w:r>
      <w:r w:rsidR="00311A14" w:rsidRPr="00D13B67">
        <w:rPr>
          <w:rStyle w:val="highlight"/>
        </w:rPr>
        <w:t xml:space="preserve">study and </w:t>
      </w:r>
      <w:r w:rsidR="005B488F" w:rsidRPr="00D13B67">
        <w:rPr>
          <w:rStyle w:val="highlight"/>
        </w:rPr>
        <w:t xml:space="preserve">address </w:t>
      </w:r>
      <w:r w:rsidR="00311A14" w:rsidRPr="00D13B67">
        <w:rPr>
          <w:rStyle w:val="highlight"/>
        </w:rPr>
        <w:t xml:space="preserve">post-war social change. </w:t>
      </w:r>
      <w:r w:rsidR="0034612D" w:rsidRPr="00D13B67">
        <w:rPr>
          <w:rStyle w:val="highlight"/>
        </w:rPr>
        <w:t xml:space="preserve">Lewin argued that researchers needed to include practitioners from the real world in </w:t>
      </w:r>
      <w:r w:rsidR="00213685" w:rsidRPr="00D13B67">
        <w:rPr>
          <w:rStyle w:val="highlight"/>
        </w:rPr>
        <w:t xml:space="preserve">research to ensure research was feasible, reflective of society, and resulted in plausible </w:t>
      </w:r>
      <w:r w:rsidR="00CB4F15" w:rsidRPr="00D13B67">
        <w:rPr>
          <w:rStyle w:val="highlight"/>
        </w:rPr>
        <w:t xml:space="preserve">suggested action (Masters, 1995). Lewin’s model </w:t>
      </w:r>
      <w:r w:rsidR="00A32F24" w:rsidRPr="00D13B67">
        <w:rPr>
          <w:rStyle w:val="highlight"/>
        </w:rPr>
        <w:t xml:space="preserve">was “composed of a circle of planning, executing, and reconnaissance or fact-finding for the purpose of evaluating the results of the second step, and preparing the rational basis for planning the third step, and for </w:t>
      </w:r>
      <w:r w:rsidR="00A32F24" w:rsidRPr="00D13B67">
        <w:rPr>
          <w:rStyle w:val="highlight"/>
        </w:rPr>
        <w:lastRenderedPageBreak/>
        <w:t>perhaps modifying again the overall plan”</w:t>
      </w:r>
      <w:r w:rsidR="00A32F24" w:rsidRPr="00D13B67">
        <w:t xml:space="preserve"> </w:t>
      </w:r>
      <w:r w:rsidR="00A32F24" w:rsidRPr="00D13B67">
        <w:rPr>
          <w:rStyle w:val="citation"/>
        </w:rPr>
        <w:t>(</w:t>
      </w:r>
      <w:r w:rsidR="00A32F24" w:rsidRPr="00D13B67">
        <w:rPr>
          <w:rStyle w:val="citation-item"/>
        </w:rPr>
        <w:t>1948, p. 206).</w:t>
      </w:r>
      <w:r w:rsidR="00A32F24" w:rsidRPr="00D13B67">
        <w:rPr>
          <w:rStyle w:val="highlight"/>
        </w:rPr>
        <w:t xml:space="preserve"> </w:t>
      </w:r>
      <w:r w:rsidR="00DE5C97" w:rsidRPr="00D13B67">
        <w:rPr>
          <w:rStyle w:val="highlight"/>
        </w:rPr>
        <w:t xml:space="preserve">This iterative model is reminiscent of </w:t>
      </w:r>
      <w:r w:rsidR="00BB01F4" w:rsidRPr="00D13B67">
        <w:rPr>
          <w:rStyle w:val="highlight"/>
        </w:rPr>
        <w:t>inclusive design’s</w:t>
      </w:r>
      <w:r w:rsidR="00DE5C97" w:rsidRPr="00D13B67">
        <w:rPr>
          <w:rStyle w:val="highlight"/>
        </w:rPr>
        <w:t xml:space="preserve"> virtuous tornado</w:t>
      </w:r>
      <w:r w:rsidR="00BB01F4" w:rsidRPr="00D13B67">
        <w:rPr>
          <w:rStyle w:val="highlight"/>
        </w:rPr>
        <w:t xml:space="preserve">. Ultimately, Lewin asserts that action research is necessary as “research that produces </w:t>
      </w:r>
      <w:proofErr w:type="gramStart"/>
      <w:r w:rsidR="00BB01F4" w:rsidRPr="00D13B67">
        <w:rPr>
          <w:rStyle w:val="highlight"/>
        </w:rPr>
        <w:t>nothing</w:t>
      </w:r>
      <w:proofErr w:type="gramEnd"/>
      <w:r w:rsidR="00BB01F4" w:rsidRPr="00D13B67">
        <w:rPr>
          <w:rStyle w:val="highlight"/>
        </w:rPr>
        <w:t xml:space="preserve"> but books will not suffice” (p. 203).</w:t>
      </w:r>
      <w:r w:rsidR="001A58A7" w:rsidRPr="00D13B67">
        <w:rPr>
          <w:rStyle w:val="highlight"/>
        </w:rPr>
        <w:t xml:space="preserve"> </w:t>
      </w:r>
    </w:p>
    <w:p w14:paraId="723A95E4" w14:textId="77777777" w:rsidR="00B20A41" w:rsidRPr="00D13B67" w:rsidRDefault="00DB5DF2" w:rsidP="00510BBD">
      <w:pPr>
        <w:pStyle w:val="Body"/>
        <w:rPr>
          <w:rStyle w:val="highlight"/>
        </w:rPr>
      </w:pPr>
      <w:r w:rsidRPr="00D13B67">
        <w:rPr>
          <w:rStyle w:val="highlight"/>
        </w:rPr>
        <w:t>In 1975</w:t>
      </w:r>
      <w:r w:rsidR="00A01762" w:rsidRPr="00D13B67">
        <w:rPr>
          <w:rStyle w:val="highlight"/>
        </w:rPr>
        <w:t>,</w:t>
      </w:r>
      <w:r w:rsidRPr="00D13B67">
        <w:rPr>
          <w:rStyle w:val="highlight"/>
        </w:rPr>
        <w:t xml:space="preserve"> </w:t>
      </w:r>
      <w:r w:rsidR="00A01762" w:rsidRPr="00D13B67">
        <w:rPr>
          <w:rStyle w:val="highlight"/>
        </w:rPr>
        <w:t xml:space="preserve">British educator </w:t>
      </w:r>
      <w:r w:rsidRPr="00D13B67">
        <w:rPr>
          <w:rStyle w:val="highlight"/>
        </w:rPr>
        <w:t xml:space="preserve">Lawrence Stenhouse </w:t>
      </w:r>
      <w:r w:rsidR="00A01762" w:rsidRPr="00D13B67">
        <w:rPr>
          <w:rStyle w:val="highlight"/>
        </w:rPr>
        <w:t xml:space="preserve">applied action research </w:t>
      </w:r>
      <w:r w:rsidR="00267C31" w:rsidRPr="00D13B67">
        <w:rPr>
          <w:rStyle w:val="highlight"/>
        </w:rPr>
        <w:t xml:space="preserve">to curriculum development and educational research. </w:t>
      </w:r>
      <w:r w:rsidR="001A58A7" w:rsidRPr="00D13B67">
        <w:rPr>
          <w:rStyle w:val="highlight"/>
        </w:rPr>
        <w:t xml:space="preserve">According to </w:t>
      </w:r>
      <w:r w:rsidR="00BD5456" w:rsidRPr="00D13B67">
        <w:rPr>
          <w:rStyle w:val="highlight"/>
        </w:rPr>
        <w:t>Stenhouse</w:t>
      </w:r>
      <w:r w:rsidR="00B04420" w:rsidRPr="00D13B67">
        <w:rPr>
          <w:rStyle w:val="highlight"/>
        </w:rPr>
        <w:t xml:space="preserve"> (1975)</w:t>
      </w:r>
      <w:r w:rsidR="00BD5456" w:rsidRPr="00D13B67">
        <w:rPr>
          <w:rStyle w:val="highlight"/>
        </w:rPr>
        <w:t xml:space="preserve"> “</w:t>
      </w:r>
      <w:r w:rsidR="00593D26" w:rsidRPr="00D13B67">
        <w:rPr>
          <w:rStyle w:val="highlight"/>
        </w:rPr>
        <w:t>it is not enough that teachers’ work should be studied; they need to study it themselves”</w:t>
      </w:r>
      <w:r w:rsidR="00593D26" w:rsidRPr="00D13B67">
        <w:t xml:space="preserve"> </w:t>
      </w:r>
      <w:r w:rsidR="00FC2BAD" w:rsidRPr="00D13B67">
        <w:t>(</w:t>
      </w:r>
      <w:r w:rsidR="00FC2BAD" w:rsidRPr="00D13B67">
        <w:rPr>
          <w:rStyle w:val="highlight"/>
        </w:rPr>
        <w:t>p. 142)</w:t>
      </w:r>
      <w:r w:rsidR="001A58A7" w:rsidRPr="00D13B67">
        <w:rPr>
          <w:rStyle w:val="highlight"/>
        </w:rPr>
        <w:t xml:space="preserve">. </w:t>
      </w:r>
      <w:r w:rsidR="00365C5B" w:rsidRPr="00D13B67">
        <w:rPr>
          <w:rStyle w:val="highlight"/>
        </w:rPr>
        <w:t xml:space="preserve">Mills </w:t>
      </w:r>
      <w:r w:rsidR="00B04420" w:rsidRPr="00D13B67">
        <w:rPr>
          <w:rStyle w:val="highlight"/>
        </w:rPr>
        <w:t xml:space="preserve">(2003) </w:t>
      </w:r>
      <w:r w:rsidR="00365C5B" w:rsidRPr="00D13B67">
        <w:rPr>
          <w:rStyle w:val="highlight"/>
        </w:rPr>
        <w:t xml:space="preserve">outlined a framework for employing action research to develop reflective practice, effect positive </w:t>
      </w:r>
      <w:r w:rsidR="00BD5456" w:rsidRPr="00D13B67">
        <w:rPr>
          <w:rStyle w:val="highlight"/>
        </w:rPr>
        <w:t>changes</w:t>
      </w:r>
      <w:r w:rsidR="00365C5B" w:rsidRPr="00D13B67">
        <w:rPr>
          <w:rStyle w:val="highlight"/>
        </w:rPr>
        <w:t xml:space="preserve"> in the school environment and educational </w:t>
      </w:r>
      <w:proofErr w:type="gramStart"/>
      <w:r w:rsidR="00365C5B" w:rsidRPr="00D13B67">
        <w:rPr>
          <w:rStyle w:val="highlight"/>
        </w:rPr>
        <w:t>practice, and</w:t>
      </w:r>
      <w:proofErr w:type="gramEnd"/>
      <w:r w:rsidR="00365C5B" w:rsidRPr="00D13B67">
        <w:rPr>
          <w:rStyle w:val="highlight"/>
        </w:rPr>
        <w:t xml:space="preserve"> improve student outcomes. This framework mimicked the key circular nature of Lewin’s action research while locating praxis within education and curriculum development. </w:t>
      </w:r>
      <w:r w:rsidR="003F68AE" w:rsidRPr="00D13B67">
        <w:rPr>
          <w:rStyle w:val="highlight"/>
        </w:rPr>
        <w:t>Donato</w:t>
      </w:r>
      <w:r w:rsidR="00B04420" w:rsidRPr="00D13B67">
        <w:rPr>
          <w:rStyle w:val="highlight"/>
        </w:rPr>
        <w:t xml:space="preserve"> </w:t>
      </w:r>
      <w:r w:rsidR="00B20A41" w:rsidRPr="00D13B67">
        <w:rPr>
          <w:rStyle w:val="highlight"/>
        </w:rPr>
        <w:t>(</w:t>
      </w:r>
      <w:r w:rsidR="00B04420" w:rsidRPr="00D13B67">
        <w:rPr>
          <w:rStyle w:val="highlight"/>
        </w:rPr>
        <w:t>2003</w:t>
      </w:r>
      <w:r w:rsidR="00B20A41" w:rsidRPr="00D13B67">
        <w:rPr>
          <w:rStyle w:val="highlight"/>
        </w:rPr>
        <w:t>)</w:t>
      </w:r>
      <w:r w:rsidR="004F5A26" w:rsidRPr="00D13B67">
        <w:rPr>
          <w:rStyle w:val="highlight"/>
        </w:rPr>
        <w:t xml:space="preserve"> emphasize</w:t>
      </w:r>
      <w:r w:rsidR="00B20A41" w:rsidRPr="00D13B67">
        <w:rPr>
          <w:rStyle w:val="highlight"/>
        </w:rPr>
        <w:t>d</w:t>
      </w:r>
      <w:r w:rsidR="004F5A26" w:rsidRPr="00D13B67">
        <w:rPr>
          <w:rStyle w:val="highlight"/>
        </w:rPr>
        <w:t xml:space="preserve"> the use of action research at individual schools</w:t>
      </w:r>
      <w:r w:rsidR="00156326" w:rsidRPr="00D13B67">
        <w:rPr>
          <w:rStyle w:val="highlight"/>
        </w:rPr>
        <w:t xml:space="preserve"> where changes can be based on </w:t>
      </w:r>
      <w:r w:rsidR="000603EE" w:rsidRPr="00D13B67">
        <w:rPr>
          <w:rStyle w:val="highlight"/>
        </w:rPr>
        <w:t>hyper-specific information collected in a localized context.</w:t>
      </w:r>
      <w:r w:rsidR="00156326" w:rsidRPr="00D13B67">
        <w:rPr>
          <w:rStyle w:val="highlight"/>
        </w:rPr>
        <w:t xml:space="preserve"> </w:t>
      </w:r>
      <w:r w:rsidR="001A58A7" w:rsidRPr="00D13B67">
        <w:rPr>
          <w:rStyle w:val="highlight"/>
        </w:rPr>
        <w:t xml:space="preserve">Action research continues to be </w:t>
      </w:r>
      <w:r w:rsidR="000763C9" w:rsidRPr="00D13B67">
        <w:rPr>
          <w:rStyle w:val="highlight"/>
        </w:rPr>
        <w:t xml:space="preserve">employed </w:t>
      </w:r>
      <w:r w:rsidR="001D7521" w:rsidRPr="00D13B67">
        <w:rPr>
          <w:rStyle w:val="highlight"/>
        </w:rPr>
        <w:t xml:space="preserve">in teaching </w:t>
      </w:r>
      <w:r w:rsidR="000763C9" w:rsidRPr="00D13B67">
        <w:rPr>
          <w:rStyle w:val="highlight"/>
        </w:rPr>
        <w:t>and public health research</w:t>
      </w:r>
      <w:r w:rsidR="00BD478C" w:rsidRPr="00D13B67">
        <w:rPr>
          <w:rStyle w:val="highlight"/>
        </w:rPr>
        <w:t xml:space="preserve"> (</w:t>
      </w:r>
      <w:proofErr w:type="spellStart"/>
      <w:r w:rsidR="00BD478C" w:rsidRPr="00D13B67">
        <w:rPr>
          <w:rStyle w:val="highlight"/>
        </w:rPr>
        <w:t>Strijbos</w:t>
      </w:r>
      <w:proofErr w:type="spellEnd"/>
      <w:r w:rsidR="00BD478C" w:rsidRPr="00D13B67">
        <w:rPr>
          <w:rStyle w:val="highlight"/>
        </w:rPr>
        <w:t xml:space="preserve"> &amp; </w:t>
      </w:r>
      <w:proofErr w:type="spellStart"/>
      <w:r w:rsidR="00BD478C" w:rsidRPr="00D13B67">
        <w:rPr>
          <w:rStyle w:val="highlight"/>
        </w:rPr>
        <w:t>Vaesen</w:t>
      </w:r>
      <w:proofErr w:type="spellEnd"/>
      <w:r w:rsidR="00BD478C" w:rsidRPr="00D13B67">
        <w:rPr>
          <w:rStyle w:val="highlight"/>
        </w:rPr>
        <w:t xml:space="preserve">, 2025; </w:t>
      </w:r>
      <w:proofErr w:type="spellStart"/>
      <w:r w:rsidR="00BD478C" w:rsidRPr="00D13B67">
        <w:rPr>
          <w:rStyle w:val="highlight"/>
        </w:rPr>
        <w:t>Kanmodi</w:t>
      </w:r>
      <w:proofErr w:type="spellEnd"/>
      <w:r w:rsidR="00BD478C" w:rsidRPr="00D13B67">
        <w:rPr>
          <w:rStyle w:val="highlight"/>
        </w:rPr>
        <w:t xml:space="preserve"> et al., 2026)</w:t>
      </w:r>
      <w:r w:rsidR="000763C9" w:rsidRPr="00D13B67">
        <w:rPr>
          <w:rStyle w:val="highlight"/>
        </w:rPr>
        <w:t xml:space="preserve">. </w:t>
      </w:r>
    </w:p>
    <w:p w14:paraId="5DC4B126" w14:textId="0C4EC81B" w:rsidR="0032119A" w:rsidRPr="00D13B67" w:rsidRDefault="0077053A" w:rsidP="00510BBD">
      <w:pPr>
        <w:pStyle w:val="Body"/>
      </w:pPr>
      <w:r w:rsidRPr="00D13B67">
        <w:rPr>
          <w:rStyle w:val="highlight"/>
        </w:rPr>
        <w:t xml:space="preserve">Action research was </w:t>
      </w:r>
      <w:r w:rsidR="00AF3C70" w:rsidRPr="00D13B67">
        <w:rPr>
          <w:rStyle w:val="highlight"/>
        </w:rPr>
        <w:t xml:space="preserve">grounded in the growing field of critical theory by Carr </w:t>
      </w:r>
      <w:r w:rsidR="00C12E31" w:rsidRPr="00D13B67">
        <w:rPr>
          <w:rStyle w:val="highlight"/>
        </w:rPr>
        <w:t>&amp;</w:t>
      </w:r>
      <w:r w:rsidR="00AF3C70" w:rsidRPr="00D13B67">
        <w:rPr>
          <w:rStyle w:val="highlight"/>
        </w:rPr>
        <w:t xml:space="preserve"> Kemmis (1986)</w:t>
      </w:r>
      <w:r w:rsidR="005813F3" w:rsidRPr="00D13B67">
        <w:rPr>
          <w:rStyle w:val="highlight"/>
        </w:rPr>
        <w:t xml:space="preserve"> while Shirley Grundy’s </w:t>
      </w:r>
      <w:r w:rsidR="005813F3" w:rsidRPr="00D13B67">
        <w:rPr>
          <w:rStyle w:val="highlight"/>
          <w:i/>
          <w:iCs/>
        </w:rPr>
        <w:t>Curriculum: Product or Praxis?</w:t>
      </w:r>
      <w:r w:rsidR="005813F3" w:rsidRPr="00D13B67">
        <w:rPr>
          <w:rStyle w:val="highlight"/>
        </w:rPr>
        <w:t xml:space="preserve"> </w:t>
      </w:r>
      <w:r w:rsidR="00B04420" w:rsidRPr="00D13B67">
        <w:rPr>
          <w:rStyle w:val="highlight"/>
        </w:rPr>
        <w:t xml:space="preserve">(1987) </w:t>
      </w:r>
      <w:r w:rsidR="00027F26" w:rsidRPr="00D13B67">
        <w:rPr>
          <w:rStyle w:val="highlight"/>
        </w:rPr>
        <w:t>f</w:t>
      </w:r>
      <w:r w:rsidR="000A54DE" w:rsidRPr="00D13B67">
        <w:rPr>
          <w:rStyle w:val="highlight"/>
        </w:rPr>
        <w:t xml:space="preserve">orwarded emancipatory action research which </w:t>
      </w:r>
      <w:r w:rsidR="00027F26" w:rsidRPr="00D13B67">
        <w:rPr>
          <w:rStyle w:val="highlight"/>
        </w:rPr>
        <w:t>emphasizes “</w:t>
      </w:r>
      <w:r w:rsidR="00B43AF3" w:rsidRPr="00D13B67">
        <w:t>emancipatory praxis in the participating practitioners; that is, it promotes a critical consciousness which exhibits itself in political as well as practical action to promote change</w:t>
      </w:r>
      <w:r w:rsidR="00027F26" w:rsidRPr="00D13B67">
        <w:t>”</w:t>
      </w:r>
      <w:r w:rsidR="00B43AF3" w:rsidRPr="00D13B67">
        <w:t xml:space="preserve"> (</w:t>
      </w:r>
      <w:r w:rsidR="00027F26" w:rsidRPr="00D13B67">
        <w:t xml:space="preserve">p. </w:t>
      </w:r>
      <w:r w:rsidR="00B43AF3" w:rsidRPr="00D13B67">
        <w:t>154)</w:t>
      </w:r>
      <w:r w:rsidR="00027F26" w:rsidRPr="00D13B67">
        <w:t xml:space="preserve">. </w:t>
      </w:r>
      <w:r w:rsidR="00DC19F6" w:rsidRPr="00D13B67">
        <w:t>The confluence of research and</w:t>
      </w:r>
      <w:r w:rsidR="00FE38A6" w:rsidRPr="00D13B67">
        <w:t xml:space="preserve"> political action is essential to the success of disabilities studies research to create tangible change.</w:t>
      </w:r>
      <w:r w:rsidR="009E1C09" w:rsidRPr="00D13B67">
        <w:t xml:space="preserve"> </w:t>
      </w:r>
      <w:r w:rsidR="00F654B4" w:rsidRPr="00D13B67">
        <w:t xml:space="preserve">Building on Lewin’s original </w:t>
      </w:r>
      <w:r w:rsidR="00222E3C" w:rsidRPr="00D13B67">
        <w:t>circles</w:t>
      </w:r>
      <w:r w:rsidR="00F654B4" w:rsidRPr="00D13B67">
        <w:t>, Kemmis and McTagg</w:t>
      </w:r>
      <w:r w:rsidR="00382DA5" w:rsidRPr="00D13B67">
        <w:t>a</w:t>
      </w:r>
      <w:r w:rsidR="00F654B4" w:rsidRPr="00D13B67">
        <w:t>rt</w:t>
      </w:r>
      <w:r w:rsidR="00222E3C" w:rsidRPr="00D13B67">
        <w:t xml:space="preserve"> </w:t>
      </w:r>
      <w:r w:rsidR="00B04420" w:rsidRPr="00D13B67">
        <w:t xml:space="preserve">(1988) </w:t>
      </w:r>
      <w:r w:rsidR="00222E3C" w:rsidRPr="00D13B67">
        <w:lastRenderedPageBreak/>
        <w:t>proposed a four-stage process for action research</w:t>
      </w:r>
      <w:r w:rsidR="00382DA5" w:rsidRPr="00D13B67">
        <w:t xml:space="preserve"> starting with a plan for improvement, implementing the plan, documenting the effects, and reflecting on the effects for further planning</w:t>
      </w:r>
      <w:r w:rsidR="003D488D" w:rsidRPr="00D13B67">
        <w:t>. This iterative cycle ensures research is not simply catalogued and forgotten</w:t>
      </w:r>
      <w:r w:rsidR="00E8040B" w:rsidRPr="00D13B67">
        <w:t>,</w:t>
      </w:r>
      <w:r w:rsidR="003D488D" w:rsidRPr="00D13B67">
        <w:t xml:space="preserve"> </w:t>
      </w:r>
      <w:r w:rsidR="00B20A41" w:rsidRPr="00D13B67">
        <w:t>but benefits</w:t>
      </w:r>
      <w:r w:rsidR="003D488D" w:rsidRPr="00D13B67">
        <w:t xml:space="preserve"> both the practitioners (in this case college instructors and staff) and the </w:t>
      </w:r>
      <w:r w:rsidR="006959E8" w:rsidRPr="00D13B67">
        <w:t xml:space="preserve">students served by the practitioners. </w:t>
      </w:r>
      <w:r w:rsidR="00CF6F87" w:rsidRPr="00D13B67">
        <w:t>Stringer</w:t>
      </w:r>
      <w:r w:rsidR="00B04420" w:rsidRPr="00D13B67">
        <w:t xml:space="preserve"> (1999)</w:t>
      </w:r>
      <w:r w:rsidR="00CF6F87" w:rsidRPr="00D13B67">
        <w:t xml:space="preserve"> proposed three phases of action research</w:t>
      </w:r>
      <w:r w:rsidR="00B239F7" w:rsidRPr="00D13B67">
        <w:t>: look, in which the problem and context are defined through information gathering; think, in which the current state is analy</w:t>
      </w:r>
      <w:r w:rsidR="000A2B2F" w:rsidRPr="00D13B67">
        <w:t>sed with respect to areas of success and deficiency;</w:t>
      </w:r>
      <w:r w:rsidR="00B239F7" w:rsidRPr="00D13B67">
        <w:t xml:space="preserve"> and act</w:t>
      </w:r>
      <w:r w:rsidR="00C8014A" w:rsidRPr="00D13B67">
        <w:t xml:space="preserve">, which involves the implementation of solutions. These models are not followed exactly </w:t>
      </w:r>
      <w:r w:rsidR="00C6348D" w:rsidRPr="00D13B67">
        <w:t>but</w:t>
      </w:r>
      <w:r w:rsidR="00510BBD" w:rsidRPr="00D13B67">
        <w:t xml:space="preserve"> inform the second phase of this research project.</w:t>
      </w:r>
    </w:p>
    <w:p w14:paraId="5E739F01" w14:textId="01C2C3AB" w:rsidR="00F63E80" w:rsidRPr="00D13B67" w:rsidRDefault="00F36528" w:rsidP="00D108B1">
      <w:pPr>
        <w:pStyle w:val="Body"/>
      </w:pPr>
      <w:r w:rsidRPr="00D13B67">
        <w:t>Participatory action research</w:t>
      </w:r>
      <w:r w:rsidR="00BA7CAE" w:rsidRPr="00D13B67">
        <w:t xml:space="preserve"> (PAR)</w:t>
      </w:r>
      <w:r w:rsidRPr="00D13B67">
        <w:t xml:space="preserve"> is an approach to action research that seeks to include not only the practitioners, but the affected communities. </w:t>
      </w:r>
      <w:r w:rsidR="006B4D50" w:rsidRPr="00D13B67">
        <w:t xml:space="preserve">Robert N. Rapoport </w:t>
      </w:r>
      <w:r w:rsidR="00B04420" w:rsidRPr="00D13B67">
        <w:t xml:space="preserve">(1970) </w:t>
      </w:r>
      <w:r w:rsidR="006B4D50" w:rsidRPr="00D13B67">
        <w:t xml:space="preserve">described </w:t>
      </w:r>
      <w:r w:rsidR="007E3494" w:rsidRPr="00D13B67">
        <w:t xml:space="preserve">the goal of </w:t>
      </w:r>
      <w:r w:rsidR="006B4D50" w:rsidRPr="00D13B67">
        <w:t>action research</w:t>
      </w:r>
      <w:r w:rsidR="002A533E" w:rsidRPr="00D13B67">
        <w:t xml:space="preserve"> as</w:t>
      </w:r>
      <w:r w:rsidR="006B4D50" w:rsidRPr="00D13B67">
        <w:t xml:space="preserve"> </w:t>
      </w:r>
      <w:r w:rsidR="007E3494" w:rsidRPr="00D13B67">
        <w:t>“to</w:t>
      </w:r>
      <w:r w:rsidR="00CB40CD" w:rsidRPr="00D13B67">
        <w:t xml:space="preserve"> contribute both to the practical concerns of people in an immediate problematic situation and to the goals of social science by joint collaboration" </w:t>
      </w:r>
      <w:r w:rsidR="00FB59B8" w:rsidRPr="00D13B67">
        <w:t>between research</w:t>
      </w:r>
      <w:r w:rsidR="00E8040B" w:rsidRPr="00D13B67">
        <w:t>ers</w:t>
      </w:r>
      <w:r w:rsidR="00FB59B8" w:rsidRPr="00D13B67">
        <w:t xml:space="preserve">, practitioners, and community </w:t>
      </w:r>
      <w:r w:rsidR="00CB40CD" w:rsidRPr="00D13B67">
        <w:t>(</w:t>
      </w:r>
      <w:r w:rsidR="007E3494" w:rsidRPr="00D13B67">
        <w:t xml:space="preserve">p. </w:t>
      </w:r>
      <w:r w:rsidR="00CB40CD" w:rsidRPr="00D13B67">
        <w:t>499)</w:t>
      </w:r>
      <w:r w:rsidR="007E3494" w:rsidRPr="00D13B67">
        <w:t>.</w:t>
      </w:r>
      <w:r w:rsidR="00BA7CAE" w:rsidRPr="00D13B67">
        <w:t xml:space="preserve"> </w:t>
      </w:r>
      <w:r w:rsidR="00D108B1" w:rsidRPr="00D13B67">
        <w:t>PAR</w:t>
      </w:r>
      <w:r w:rsidR="00393285" w:rsidRPr="00D13B67">
        <w:t xml:space="preserve"> has also been termed ‘community-based action research’ by Ernest T. Stringer (1999). </w:t>
      </w:r>
      <w:r w:rsidR="00C7643D" w:rsidRPr="00D13B67">
        <w:t xml:space="preserve">This model centres social values, democratic participation, equity, liberating conditions, and </w:t>
      </w:r>
      <w:r w:rsidR="004831B1" w:rsidRPr="00D13B67">
        <w:t xml:space="preserve">working to enable people’s full potential. </w:t>
      </w:r>
      <w:r w:rsidR="00BA7CAE" w:rsidRPr="00D13B67">
        <w:t xml:space="preserve">PAR often involves </w:t>
      </w:r>
      <w:r w:rsidR="002D3872" w:rsidRPr="00D13B67">
        <w:t>‘</w:t>
      </w:r>
      <w:r w:rsidR="00BA7CAE" w:rsidRPr="00D13B67">
        <w:t>participants</w:t>
      </w:r>
      <w:r w:rsidR="002D3872" w:rsidRPr="00D13B67">
        <w:t xml:space="preserve">’ </w:t>
      </w:r>
      <w:r w:rsidR="00EB342B" w:rsidRPr="00D13B67">
        <w:t>or ‘collaborators’</w:t>
      </w:r>
      <w:r w:rsidR="002D3872" w:rsidRPr="00D13B67">
        <w:t xml:space="preserve"> rather than subjects or respondents</w:t>
      </w:r>
      <w:r w:rsidR="004C4EB2" w:rsidRPr="00D13B67">
        <w:t>; collaborators</w:t>
      </w:r>
      <w:r w:rsidR="002655F8" w:rsidRPr="00D13B67">
        <w:t xml:space="preserve"> are</w:t>
      </w:r>
      <w:r w:rsidR="00D15828" w:rsidRPr="00D13B67">
        <w:t xml:space="preserve"> stakeholders invested in problem definition, solutions, and evaluation (Draper, 2004</w:t>
      </w:r>
      <w:r w:rsidR="00403260" w:rsidRPr="00D13B67">
        <w:t xml:space="preserve">; </w:t>
      </w:r>
      <w:proofErr w:type="gramStart"/>
      <w:r w:rsidR="00403260" w:rsidRPr="00D13B67">
        <w:t>May,</w:t>
      </w:r>
      <w:proofErr w:type="gramEnd"/>
      <w:r w:rsidR="00403260" w:rsidRPr="00D13B67">
        <w:t xml:space="preserve"> 2024</w:t>
      </w:r>
      <w:r w:rsidR="00D15828" w:rsidRPr="00D13B67">
        <w:t xml:space="preserve">). </w:t>
      </w:r>
      <w:r w:rsidR="005A3F76" w:rsidRPr="00D13B67">
        <w:t xml:space="preserve">PAR </w:t>
      </w:r>
      <w:r w:rsidR="0042276B" w:rsidRPr="00D13B67">
        <w:t xml:space="preserve">allows </w:t>
      </w:r>
      <w:r w:rsidR="0037449D" w:rsidRPr="00D13B67">
        <w:t>“common people everywhere to create knowledge from their own lived experience” (Beck, 1995, p.1).</w:t>
      </w:r>
      <w:r w:rsidR="0006428F" w:rsidRPr="00D13B67">
        <w:t xml:space="preserve"> This sentiment closely aligns with </w:t>
      </w:r>
      <w:r w:rsidR="007D35EB" w:rsidRPr="00D13B67">
        <w:t xml:space="preserve">the use of inclusive process and tools central to inclusive design </w:t>
      </w:r>
      <w:r w:rsidR="00B21395" w:rsidRPr="00D13B67">
        <w:t xml:space="preserve">which is guided “by the individuals that have difficulty or are </w:t>
      </w:r>
      <w:r w:rsidR="00B21395" w:rsidRPr="00D13B67">
        <w:lastRenderedPageBreak/>
        <w:t>excluded from the existing designs” (IDRC</w:t>
      </w:r>
      <w:r w:rsidR="00412470" w:rsidRPr="00D13B67">
        <w:t>, 2020).</w:t>
      </w:r>
      <w:r w:rsidR="002338EC" w:rsidRPr="00D13B67">
        <w:t xml:space="preserve"> PAR</w:t>
      </w:r>
      <w:r w:rsidR="00592569" w:rsidRPr="00D13B67">
        <w:t>, in addition to producing a</w:t>
      </w:r>
      <w:r w:rsidR="003D7D29" w:rsidRPr="00D13B67">
        <w:t xml:space="preserve"> specific</w:t>
      </w:r>
      <w:r w:rsidR="00592569" w:rsidRPr="00D13B67">
        <w:t xml:space="preserve"> action or change,</w:t>
      </w:r>
      <w:r w:rsidR="002338EC" w:rsidRPr="00D13B67">
        <w:t xml:space="preserve"> aims to be driven by participants, </w:t>
      </w:r>
      <w:r w:rsidR="00EE7B42" w:rsidRPr="00D13B67">
        <w:t>collaborative at all stages</w:t>
      </w:r>
      <w:r w:rsidR="00592569" w:rsidRPr="00D13B67">
        <w:t xml:space="preserve">, and </w:t>
      </w:r>
      <w:r w:rsidR="00AB1916" w:rsidRPr="00D13B67">
        <w:t>offers</w:t>
      </w:r>
      <w:r w:rsidR="002338EC" w:rsidRPr="00D13B67">
        <w:t xml:space="preserve"> a democratic model of who produces, owns, and uses knowledge</w:t>
      </w:r>
      <w:r w:rsidR="00592569" w:rsidRPr="00D13B67">
        <w:t xml:space="preserve"> (Morales, 2016).</w:t>
      </w:r>
      <w:r w:rsidR="003D7D29" w:rsidRPr="00D13B67">
        <w:t xml:space="preserve"> PAR, like action research, is localized</w:t>
      </w:r>
      <w:r w:rsidR="00D917B0" w:rsidRPr="00D13B67">
        <w:t xml:space="preserve"> in both problem and solution</w:t>
      </w:r>
      <w:r w:rsidR="00AB1916" w:rsidRPr="00D13B67">
        <w:t>,</w:t>
      </w:r>
      <w:r w:rsidR="00D917B0" w:rsidRPr="00D13B67">
        <w:t xml:space="preserve"> asserting that “the solution to the problem is within the same setting</w:t>
      </w:r>
      <w:r w:rsidR="00C4788C" w:rsidRPr="00D13B67">
        <w:t xml:space="preserve"> [as the problem] without intention of generalizing its results” (p. 158)</w:t>
      </w:r>
      <w:r w:rsidR="0032119A" w:rsidRPr="00D13B67">
        <w:t xml:space="preserve">. </w:t>
      </w:r>
      <w:r w:rsidR="00F474D5" w:rsidRPr="00D13B67">
        <w:t xml:space="preserve">Attempting to address the inaccessibility of digital learning material at Langara College may result in generalizable </w:t>
      </w:r>
      <w:r w:rsidR="00646175" w:rsidRPr="00D13B67">
        <w:t xml:space="preserve">findings due to the ubiquity of common digital learning material formats. However, if the results only create a better experience for Langara’s disabled students, the project will still be a success. </w:t>
      </w:r>
      <w:r w:rsidR="009261E6" w:rsidRPr="00D13B67">
        <w:t>Due to the inclusion of “those for whom the change is very relevant, [participatory action research] is more likely to succeed” (Draper, 2004, p. 36).</w:t>
      </w:r>
      <w:r w:rsidR="007A3ABA" w:rsidRPr="00D13B67">
        <w:t xml:space="preserve"> However, a high level of commitment and involvement from the organization</w:t>
      </w:r>
      <w:r w:rsidR="006A7C21" w:rsidRPr="00D13B67">
        <w:t>,</w:t>
      </w:r>
      <w:r w:rsidR="007A3ABA" w:rsidRPr="00D13B67">
        <w:t xml:space="preserve"> including the participants</w:t>
      </w:r>
      <w:r w:rsidR="006A7C21" w:rsidRPr="00D13B67">
        <w:t>,</w:t>
      </w:r>
      <w:r w:rsidR="007A3ABA" w:rsidRPr="00D13B67">
        <w:t xml:space="preserve"> is required</w:t>
      </w:r>
      <w:r w:rsidR="006A7C21" w:rsidRPr="00D13B67">
        <w:t xml:space="preserve"> to not only study a problem but to commit to </w:t>
      </w:r>
      <w:r w:rsidR="008E7FAC" w:rsidRPr="00D13B67">
        <w:t>its</w:t>
      </w:r>
      <w:r w:rsidR="006A7C21" w:rsidRPr="00D13B67">
        <w:t xml:space="preserve"> resolution (Morales, 2016). This</w:t>
      </w:r>
      <w:r w:rsidR="00D72766" w:rsidRPr="00D13B67">
        <w:t xml:space="preserve"> presents </w:t>
      </w:r>
      <w:r w:rsidR="002E1E63" w:rsidRPr="00D13B67">
        <w:t>unique challenges, particularly in the current climate of post-secondary contraction and job insecurity.</w:t>
      </w:r>
    </w:p>
    <w:p w14:paraId="3A0497AB" w14:textId="61B05B0D" w:rsidR="00C569AC" w:rsidRPr="00D13B67" w:rsidRDefault="00C6348D" w:rsidP="001C3C79">
      <w:pPr>
        <w:pStyle w:val="Body"/>
        <w:rPr>
          <w:rStyle w:val="citation"/>
        </w:rPr>
      </w:pPr>
      <w:r w:rsidRPr="00D13B67">
        <w:t xml:space="preserve">Action research </w:t>
      </w:r>
      <w:r w:rsidR="004D5622" w:rsidRPr="00D13B67">
        <w:t xml:space="preserve">is </w:t>
      </w:r>
      <w:r w:rsidR="00944852" w:rsidRPr="00D13B67">
        <w:t xml:space="preserve">employed as a complementary methodology to inclusive </w:t>
      </w:r>
      <w:r w:rsidR="008E7FAC" w:rsidRPr="00D13B67">
        <w:t xml:space="preserve">design </w:t>
      </w:r>
      <w:r w:rsidR="00944852" w:rsidRPr="00D13B67">
        <w:t xml:space="preserve">and co-design, particularly for </w:t>
      </w:r>
      <w:r w:rsidR="00502C40" w:rsidRPr="00D13B67">
        <w:t xml:space="preserve">its </w:t>
      </w:r>
      <w:r w:rsidR="00944852" w:rsidRPr="00D13B67">
        <w:t>emphasi</w:t>
      </w:r>
      <w:r w:rsidR="00502C40" w:rsidRPr="00D13B67">
        <w:t>s</w:t>
      </w:r>
      <w:r w:rsidR="00944852" w:rsidRPr="00D13B67">
        <w:t xml:space="preserve"> on localized and educational contexts.</w:t>
      </w:r>
      <w:r w:rsidR="00F55F70" w:rsidRPr="00D13B67">
        <w:t xml:space="preserve"> </w:t>
      </w:r>
      <w:r w:rsidR="00145046" w:rsidRPr="00D13B67">
        <w:t>PAR has the potential to unsettle existing power structures, dominant ideologies, and harmful assumptions present in traditional research practices (</w:t>
      </w:r>
      <w:proofErr w:type="gramStart"/>
      <w:r w:rsidR="00145046" w:rsidRPr="00D13B67">
        <w:t>May,</w:t>
      </w:r>
      <w:proofErr w:type="gramEnd"/>
      <w:r w:rsidR="00145046" w:rsidRPr="00D13B67">
        <w:t xml:space="preserve"> 2024). </w:t>
      </w:r>
      <w:r w:rsidR="00C212E4" w:rsidRPr="00D13B67">
        <w:t>Re</w:t>
      </w:r>
      <w:r w:rsidR="00837AE3" w:rsidRPr="00D13B67">
        <w:t xml:space="preserve">search </w:t>
      </w:r>
      <w:r w:rsidR="00C212E4" w:rsidRPr="00D13B67">
        <w:t xml:space="preserve">which </w:t>
      </w:r>
      <w:r w:rsidR="00837AE3" w:rsidRPr="00D13B67">
        <w:t>only examines what is</w:t>
      </w:r>
      <w:r w:rsidR="00C212E4" w:rsidRPr="00D13B67">
        <w:t xml:space="preserve"> can easily </w:t>
      </w:r>
      <w:r w:rsidR="00B10F90" w:rsidRPr="00D13B67">
        <w:t xml:space="preserve">secure certainty in the status quo; as Tanya </w:t>
      </w:r>
      <w:proofErr w:type="spellStart"/>
      <w:r w:rsidR="00B10F90" w:rsidRPr="00D13B67">
        <w:t>Titchkosky</w:t>
      </w:r>
      <w:proofErr w:type="spellEnd"/>
      <w:r w:rsidR="00B10F90" w:rsidRPr="00D13B67">
        <w:t xml:space="preserve"> </w:t>
      </w:r>
      <w:r w:rsidR="00667A92" w:rsidRPr="00D13B67">
        <w:t xml:space="preserve">(2011) </w:t>
      </w:r>
      <w:r w:rsidR="00B10F90" w:rsidRPr="00D13B67">
        <w:t xml:space="preserve">posits: “justifying what </w:t>
      </w:r>
      <w:proofErr w:type="gramStart"/>
      <w:r w:rsidR="00B10F90" w:rsidRPr="00D13B67">
        <w:t>is can hold</w:t>
      </w:r>
      <w:proofErr w:type="gramEnd"/>
      <w:r w:rsidR="00B10F90" w:rsidRPr="00D13B67">
        <w:t xml:space="preserve"> at bay considerations of what is not” (p. 77).</w:t>
      </w:r>
      <w:r w:rsidR="00A46E9F" w:rsidRPr="00D13B67">
        <w:t xml:space="preserve"> Explicit</w:t>
      </w:r>
      <w:r w:rsidR="00B874B3" w:rsidRPr="00D13B67">
        <w:t>l</w:t>
      </w:r>
      <w:r w:rsidR="00A46E9F" w:rsidRPr="00D13B67">
        <w:t xml:space="preserve">y </w:t>
      </w:r>
      <w:r w:rsidR="00B874B3" w:rsidRPr="00D13B67">
        <w:t>studying</w:t>
      </w:r>
      <w:r w:rsidR="00A46E9F" w:rsidRPr="00D13B67">
        <w:t xml:space="preserve"> inaccessibility </w:t>
      </w:r>
      <w:r w:rsidR="00B874B3" w:rsidRPr="00D13B67">
        <w:t>may only reaffirm that some are excluded; addressing how to increase access</w:t>
      </w:r>
      <w:r w:rsidR="00341BF9" w:rsidRPr="00D13B67">
        <w:t xml:space="preserve"> through tangible action will improve people’s lives. </w:t>
      </w:r>
      <w:r w:rsidR="00F55F70" w:rsidRPr="00D13B67">
        <w:t xml:space="preserve">While </w:t>
      </w:r>
      <w:r w:rsidR="00502C40" w:rsidRPr="00D13B67">
        <w:t xml:space="preserve">methodology is </w:t>
      </w:r>
      <w:r w:rsidR="00502C40" w:rsidRPr="00D13B67">
        <w:lastRenderedPageBreak/>
        <w:t>important, results are paramount to this work</w:t>
      </w:r>
      <w:r w:rsidR="001C3C79" w:rsidRPr="00D13B67">
        <w:t>. As Diane Beck</w:t>
      </w:r>
      <w:r w:rsidR="00667A92" w:rsidRPr="00D13B67">
        <w:t xml:space="preserve"> (1995)</w:t>
      </w:r>
      <w:r w:rsidR="001C3C79" w:rsidRPr="00D13B67">
        <w:t xml:space="preserve"> points out: </w:t>
      </w:r>
      <w:r w:rsidR="00C569AC" w:rsidRPr="00D13B67">
        <w:rPr>
          <w:rStyle w:val="highlight"/>
        </w:rPr>
        <w:t>“</w:t>
      </w:r>
      <w:r w:rsidR="001C3C79" w:rsidRPr="00D13B67">
        <w:rPr>
          <w:rStyle w:val="highlight"/>
        </w:rPr>
        <w:t>t</w:t>
      </w:r>
      <w:r w:rsidR="00C569AC" w:rsidRPr="00D13B67">
        <w:rPr>
          <w:rStyle w:val="highlight"/>
        </w:rPr>
        <w:t>oo much action without reflection is mere activism; too much reflection without action is mere introspection and armchair discussion”</w:t>
      </w:r>
      <w:r w:rsidR="00C569AC" w:rsidRPr="00D13B67">
        <w:t xml:space="preserve"> </w:t>
      </w:r>
      <w:r w:rsidR="00C569AC" w:rsidRPr="00D13B67">
        <w:rPr>
          <w:rStyle w:val="citation"/>
        </w:rPr>
        <w:t>(</w:t>
      </w:r>
      <w:r w:rsidR="00C569AC" w:rsidRPr="00D13B67">
        <w:rPr>
          <w:rStyle w:val="citation-item"/>
        </w:rPr>
        <w:t>p. 12</w:t>
      </w:r>
      <w:r w:rsidR="00C569AC" w:rsidRPr="00D13B67">
        <w:rPr>
          <w:rStyle w:val="citation"/>
        </w:rPr>
        <w:t>)</w:t>
      </w:r>
      <w:r w:rsidR="001C3C79" w:rsidRPr="00D13B67">
        <w:rPr>
          <w:rStyle w:val="citation"/>
        </w:rPr>
        <w:t>.</w:t>
      </w:r>
    </w:p>
    <w:p w14:paraId="216FBC5B" w14:textId="25CA155D" w:rsidR="3D229C07" w:rsidRPr="00D13B67" w:rsidRDefault="3D229C07" w:rsidP="41F5E985">
      <w:pPr>
        <w:pStyle w:val="Heading3"/>
      </w:pPr>
      <w:bookmarkStart w:id="30" w:name="_Toc228867985"/>
      <w:r w:rsidRPr="00D13B67">
        <w:t>3.</w:t>
      </w:r>
      <w:r w:rsidR="003360BD" w:rsidRPr="00D13B67">
        <w:t>2</w:t>
      </w:r>
      <w:r w:rsidRPr="00D13B67">
        <w:t xml:space="preserve"> Ethics</w:t>
      </w:r>
      <w:bookmarkEnd w:id="30"/>
    </w:p>
    <w:p w14:paraId="525EDF57" w14:textId="65E2A9A2" w:rsidR="41F5E985" w:rsidRPr="00D13B67" w:rsidRDefault="00B318A8" w:rsidP="00183B74">
      <w:pPr>
        <w:pStyle w:val="Heading4"/>
      </w:pPr>
      <w:bookmarkStart w:id="31" w:name="_Toc228867986"/>
      <w:r w:rsidRPr="00D13B67">
        <w:t xml:space="preserve">3.2.1 </w:t>
      </w:r>
      <w:r w:rsidR="00700719" w:rsidRPr="00D13B67">
        <w:t>Project Recruitment</w:t>
      </w:r>
      <w:bookmarkEnd w:id="31"/>
    </w:p>
    <w:p w14:paraId="2F325E52" w14:textId="4D32B011" w:rsidR="00E17DAD" w:rsidRPr="00D13B67" w:rsidRDefault="000117C1" w:rsidP="00A22C03">
      <w:pPr>
        <w:pStyle w:val="Body"/>
      </w:pPr>
      <w:r w:rsidRPr="00D13B67">
        <w:t xml:space="preserve">Phase </w:t>
      </w:r>
      <w:r w:rsidR="00BF2F53" w:rsidRPr="00D13B67">
        <w:t>1</w:t>
      </w:r>
      <w:r w:rsidRPr="00D13B67">
        <w:t xml:space="preserve"> </w:t>
      </w:r>
      <w:r w:rsidR="00CD485C" w:rsidRPr="00D13B67">
        <w:t>involved conversation and co-design sessions with</w:t>
      </w:r>
      <w:r w:rsidR="00E8457F" w:rsidRPr="00D13B67">
        <w:t xml:space="preserve"> </w:t>
      </w:r>
      <w:r w:rsidR="00CC34DC" w:rsidRPr="00D13B67">
        <w:t>current and former Langara students</w:t>
      </w:r>
      <w:r w:rsidR="00E8457F" w:rsidRPr="00D13B67">
        <w:t xml:space="preserve">. These </w:t>
      </w:r>
      <w:r w:rsidR="00D547EA" w:rsidRPr="00D13B67">
        <w:t>students</w:t>
      </w:r>
      <w:r w:rsidR="00E8457F" w:rsidRPr="00D13B67">
        <w:t xml:space="preserve"> </w:t>
      </w:r>
      <w:r w:rsidR="00F946D7" w:rsidRPr="00D13B67">
        <w:t xml:space="preserve">were </w:t>
      </w:r>
      <w:r w:rsidR="000D37EF" w:rsidRPr="00D13B67">
        <w:t>invited</w:t>
      </w:r>
      <w:r w:rsidR="00F946D7" w:rsidRPr="00D13B67">
        <w:t xml:space="preserve"> via email</w:t>
      </w:r>
      <w:r w:rsidR="008E1787" w:rsidRPr="00D13B67">
        <w:t xml:space="preserve"> to </w:t>
      </w:r>
      <w:r w:rsidR="00C525E7" w:rsidRPr="00D13B67">
        <w:t>participate in the research project.</w:t>
      </w:r>
      <w:r w:rsidR="00C53D41" w:rsidRPr="00D13B67">
        <w:t xml:space="preserve"> </w:t>
      </w:r>
      <w:r w:rsidR="00C525E7" w:rsidRPr="00D13B67">
        <w:t xml:space="preserve">Potential </w:t>
      </w:r>
      <w:r w:rsidR="00CD485C" w:rsidRPr="00D13B67">
        <w:t>co-designers’</w:t>
      </w:r>
      <w:r w:rsidR="001C4770" w:rsidRPr="00D13B67">
        <w:t xml:space="preserve"> </w:t>
      </w:r>
      <w:r w:rsidR="0029723A" w:rsidRPr="00D13B67">
        <w:t>contact details were gathered from the Graduate Student Researcher</w:t>
      </w:r>
      <w:r w:rsidR="00000263" w:rsidRPr="00D13B67">
        <w:t>’s</w:t>
      </w:r>
      <w:r w:rsidR="0029723A" w:rsidRPr="00D13B67">
        <w:t xml:space="preserve"> (Luke McKnight) work as an assistive technologist at Langara College. The assistive technologist works with students and employees using assistive technology to access Langara’s digital environments. The assistive technologist also assists employees with selecting and creating more accessible digital content. </w:t>
      </w:r>
      <w:r w:rsidR="001C4770" w:rsidRPr="00D13B67">
        <w:t xml:space="preserve">The </w:t>
      </w:r>
      <w:r w:rsidR="007E3A13" w:rsidRPr="00D13B67">
        <w:t>role</w:t>
      </w:r>
      <w:r w:rsidR="001C4770" w:rsidRPr="00D13B67">
        <w:t xml:space="preserve"> is a support staff position and</w:t>
      </w:r>
      <w:r w:rsidR="0029723A" w:rsidRPr="00D13B67">
        <w:t xml:space="preserve"> does not have any direct influence over student grades, </w:t>
      </w:r>
      <w:r w:rsidR="00C044A4" w:rsidRPr="00D13B67">
        <w:t xml:space="preserve">academic </w:t>
      </w:r>
      <w:r w:rsidR="0029723A" w:rsidRPr="00D13B67">
        <w:t xml:space="preserve">standing, or </w:t>
      </w:r>
      <w:r w:rsidR="00C044A4" w:rsidRPr="00D13B67">
        <w:t xml:space="preserve">any other </w:t>
      </w:r>
      <w:r w:rsidR="00FE780F" w:rsidRPr="00D13B67">
        <w:t xml:space="preserve">factors that might negatively impact a student’s </w:t>
      </w:r>
      <w:r w:rsidR="00B62367" w:rsidRPr="00D13B67">
        <w:t>time at</w:t>
      </w:r>
      <w:r w:rsidR="00000263" w:rsidRPr="00D13B67">
        <w:t>,</w:t>
      </w:r>
      <w:r w:rsidR="00B62367" w:rsidRPr="00D13B67">
        <w:t xml:space="preserve"> or </w:t>
      </w:r>
      <w:r w:rsidR="00FE780F" w:rsidRPr="00D13B67">
        <w:t>relationship with</w:t>
      </w:r>
      <w:r w:rsidR="00000263" w:rsidRPr="00D13B67">
        <w:t>,</w:t>
      </w:r>
      <w:r w:rsidR="00FE780F" w:rsidRPr="00D13B67">
        <w:t xml:space="preserve"> Langa</w:t>
      </w:r>
      <w:r w:rsidR="00CC34DC" w:rsidRPr="00D13B67">
        <w:t>r</w:t>
      </w:r>
      <w:r w:rsidR="00FE780F" w:rsidRPr="00D13B67">
        <w:t xml:space="preserve">a College. </w:t>
      </w:r>
      <w:r w:rsidR="00374006" w:rsidRPr="00D13B67">
        <w:t>However, there may be some concerns that student</w:t>
      </w:r>
      <w:r w:rsidR="00CD485C" w:rsidRPr="00D13B67">
        <w:t>s</w:t>
      </w:r>
      <w:r w:rsidR="00374006" w:rsidRPr="00D13B67">
        <w:t xml:space="preserve"> would hold back or omit certain things</w:t>
      </w:r>
      <w:r w:rsidR="00EB4837" w:rsidRPr="00D13B67">
        <w:t xml:space="preserve"> due to fear of retribution or ostracization.</w:t>
      </w:r>
      <w:r w:rsidR="00B62367" w:rsidRPr="00D13B67">
        <w:t xml:space="preserve"> </w:t>
      </w:r>
      <w:r w:rsidR="007E3A13" w:rsidRPr="00D13B67">
        <w:t>I</w:t>
      </w:r>
      <w:r w:rsidR="00B62367" w:rsidRPr="00D13B67">
        <w:t xml:space="preserve"> repeatedly stressed to students that </w:t>
      </w:r>
      <w:r w:rsidR="00A22C03" w:rsidRPr="00D13B67">
        <w:t>honesty and critical reflection were necessary for this research project to spur tangible change while reassuring them of the right to revoke consent or remain anonymous.</w:t>
      </w:r>
      <w:r w:rsidR="0084227D" w:rsidRPr="00D13B67">
        <w:t xml:space="preserve"> The existing relationship </w:t>
      </w:r>
      <w:r w:rsidR="000A4508" w:rsidRPr="00D13B67">
        <w:t>between myself and the co-designers was an asset to the outcome of this project</w:t>
      </w:r>
      <w:r w:rsidR="00981684" w:rsidRPr="00D13B67">
        <w:t>. The existing</w:t>
      </w:r>
      <w:r w:rsidR="000A4508" w:rsidRPr="00D13B67">
        <w:t xml:space="preserve"> rapport </w:t>
      </w:r>
      <w:r w:rsidR="00981684" w:rsidRPr="00D13B67">
        <w:t>between myself and</w:t>
      </w:r>
      <w:r w:rsidR="00130ABD" w:rsidRPr="00D13B67">
        <w:t xml:space="preserve"> the</w:t>
      </w:r>
      <w:r w:rsidR="00981684" w:rsidRPr="00D13B67">
        <w:t xml:space="preserve"> co</w:t>
      </w:r>
      <w:r w:rsidR="00130ABD" w:rsidRPr="00D13B67">
        <w:t>-designers allowed them to freely express their feelings</w:t>
      </w:r>
      <w:r w:rsidR="00600BD3" w:rsidRPr="00D13B67">
        <w:t>, understanding I have always been a safe and helpful person for them. Additionally,</w:t>
      </w:r>
      <w:r w:rsidR="00130ABD" w:rsidRPr="00D13B67">
        <w:t xml:space="preserve"> my</w:t>
      </w:r>
      <w:r w:rsidR="000A4508" w:rsidRPr="00D13B67">
        <w:t xml:space="preserve"> understanding of </w:t>
      </w:r>
      <w:r w:rsidR="00600BD3" w:rsidRPr="00D13B67">
        <w:t>prior</w:t>
      </w:r>
      <w:r w:rsidR="000A4508" w:rsidRPr="00D13B67">
        <w:t xml:space="preserve"> issues allowed co-</w:t>
      </w:r>
      <w:r w:rsidR="000A4508" w:rsidRPr="00D13B67">
        <w:lastRenderedPageBreak/>
        <w:t xml:space="preserve">designers </w:t>
      </w:r>
      <w:r w:rsidR="00F42DD3" w:rsidRPr="00D13B67">
        <w:t xml:space="preserve">to </w:t>
      </w:r>
      <w:r w:rsidR="00146680" w:rsidRPr="00D13B67">
        <w:t xml:space="preserve">recall </w:t>
      </w:r>
      <w:r w:rsidR="00600BD3" w:rsidRPr="00D13B67">
        <w:t>details and specifics</w:t>
      </w:r>
      <w:r w:rsidR="00146680" w:rsidRPr="00D13B67">
        <w:t xml:space="preserve"> without </w:t>
      </w:r>
      <w:r w:rsidR="00981684" w:rsidRPr="00D13B67">
        <w:t xml:space="preserve">expending time and energy explaining the context. </w:t>
      </w:r>
      <w:r w:rsidR="00D547EA" w:rsidRPr="00D13B67">
        <w:t>I believe a</w:t>
      </w:r>
      <w:r w:rsidR="00600BD3" w:rsidRPr="00D13B67">
        <w:t xml:space="preserve">n external researcher, or even an internal researcher without prior contact with the co-designers, would not have been able to illicit the same depth and level of detail as was </w:t>
      </w:r>
      <w:r w:rsidR="00D547EA" w:rsidRPr="00D13B67">
        <w:t>discussed in this project.</w:t>
      </w:r>
    </w:p>
    <w:p w14:paraId="0E7FEAA2" w14:textId="01780950" w:rsidR="0029723A" w:rsidRPr="00D13B67" w:rsidRDefault="00E17DAD" w:rsidP="00AD7CDB">
      <w:pPr>
        <w:pStyle w:val="Body"/>
      </w:pPr>
      <w:r w:rsidRPr="00D13B67">
        <w:t xml:space="preserve">All </w:t>
      </w:r>
      <w:r w:rsidR="000B5305" w:rsidRPr="00D13B67">
        <w:t>potential</w:t>
      </w:r>
      <w:r w:rsidRPr="00D13B67">
        <w:t xml:space="preserve"> </w:t>
      </w:r>
      <w:r w:rsidR="00CD485C" w:rsidRPr="00D13B67">
        <w:t>co-designers</w:t>
      </w:r>
      <w:r w:rsidRPr="00D13B67">
        <w:t xml:space="preserve"> </w:t>
      </w:r>
      <w:r w:rsidR="000B5305" w:rsidRPr="00D13B67">
        <w:t xml:space="preserve">were selected as they </w:t>
      </w:r>
      <w:r w:rsidRPr="00D13B67">
        <w:t>use</w:t>
      </w:r>
      <w:r w:rsidR="000B5305" w:rsidRPr="00D13B67">
        <w:t xml:space="preserve"> or have </w:t>
      </w:r>
      <w:r w:rsidR="003C7432" w:rsidRPr="00D13B67">
        <w:t>used</w:t>
      </w:r>
      <w:r w:rsidR="000B5305" w:rsidRPr="00D13B67">
        <w:t xml:space="preserve"> </w:t>
      </w:r>
      <w:r w:rsidRPr="00D13B67">
        <w:t>assistive technology</w:t>
      </w:r>
      <w:r w:rsidR="000B5305" w:rsidRPr="00D13B67">
        <w:t>;</w:t>
      </w:r>
      <w:r w:rsidRPr="00D13B67">
        <w:t xml:space="preserve"> however</w:t>
      </w:r>
      <w:r w:rsidR="000B5305" w:rsidRPr="00D13B67">
        <w:t>,</w:t>
      </w:r>
      <w:r w:rsidRPr="00D13B67">
        <w:t xml:space="preserve"> no details of their medical diagnoses or self-reported disabilities </w:t>
      </w:r>
      <w:r w:rsidR="000B5305" w:rsidRPr="00D13B67">
        <w:t>were</w:t>
      </w:r>
      <w:r w:rsidRPr="00D13B67">
        <w:t xml:space="preserve"> collected or at any point known by the </w:t>
      </w:r>
      <w:proofErr w:type="spellStart"/>
      <w:r w:rsidR="00C64BB9">
        <w:t>Gradute</w:t>
      </w:r>
      <w:proofErr w:type="spellEnd"/>
      <w:r w:rsidR="00C64BB9">
        <w:t xml:space="preserve"> </w:t>
      </w:r>
      <w:r w:rsidR="000B5305" w:rsidRPr="00D13B67">
        <w:t>S</w:t>
      </w:r>
      <w:r w:rsidRPr="00D13B67">
        <w:t xml:space="preserve">tudent </w:t>
      </w:r>
      <w:r w:rsidR="000B5305" w:rsidRPr="00D13B67">
        <w:t>R</w:t>
      </w:r>
      <w:r w:rsidRPr="00D13B67">
        <w:t>esearch</w:t>
      </w:r>
      <w:r w:rsidR="000B5305" w:rsidRPr="00D13B67">
        <w:t>er</w:t>
      </w:r>
      <w:r w:rsidRPr="00D13B67">
        <w:t>. The lived experience</w:t>
      </w:r>
      <w:r w:rsidR="003C7432" w:rsidRPr="00D13B67">
        <w:t>, not categorization,</w:t>
      </w:r>
      <w:r w:rsidRPr="00D13B67">
        <w:t xml:space="preserve"> of these </w:t>
      </w:r>
      <w:r w:rsidR="00CD485C" w:rsidRPr="00D13B67">
        <w:t>students</w:t>
      </w:r>
      <w:r w:rsidRPr="00D13B67">
        <w:t xml:space="preserve"> is key to understanding what digital learning material formats pose the greatest barriers to students using assistive technology. Additionally, the positive experiences these students have had could contribute to recommendations of best practice. </w:t>
      </w:r>
      <w:r w:rsidR="00E470C9" w:rsidRPr="00D13B67">
        <w:t>Student</w:t>
      </w:r>
      <w:r w:rsidR="00CD485C" w:rsidRPr="00D13B67">
        <w:t>s</w:t>
      </w:r>
      <w:r w:rsidR="00E470C9" w:rsidRPr="00D13B67">
        <w:t xml:space="preserve"> were repeatedly reminded that their participation and any comments made or actions taken would have no bearing on their future access to Langara support services and that Luke McKnight was acting as an OCADU </w:t>
      </w:r>
      <w:r w:rsidR="00C64BB9">
        <w:t xml:space="preserve">Graduate </w:t>
      </w:r>
      <w:r w:rsidR="00E470C9" w:rsidRPr="00D13B67">
        <w:t xml:space="preserve">Student Researcher, not Langara’s Assistive Technologist, for the duration of their interaction regarding the research project. </w:t>
      </w:r>
      <w:r w:rsidRPr="00D13B67">
        <w:t xml:space="preserve">Of </w:t>
      </w:r>
      <w:r w:rsidR="002A317A" w:rsidRPr="00D13B67">
        <w:t xml:space="preserve">9 potential </w:t>
      </w:r>
      <w:r w:rsidR="00CD485C" w:rsidRPr="00D13B67">
        <w:t>co-designers</w:t>
      </w:r>
      <w:r w:rsidR="002A317A" w:rsidRPr="00D13B67">
        <w:t>, 7 responded, and 5 agreed to participate. No reason for not participating was given by the 2 respondents that chose</w:t>
      </w:r>
      <w:r w:rsidR="0028081E" w:rsidRPr="00D13B67">
        <w:t xml:space="preserve"> not</w:t>
      </w:r>
      <w:r w:rsidR="002A317A" w:rsidRPr="00D13B67">
        <w:t xml:space="preserve"> to participate.</w:t>
      </w:r>
      <w:r w:rsidR="00766D85" w:rsidRPr="00D13B67">
        <w:t xml:space="preserve"> Student </w:t>
      </w:r>
      <w:r w:rsidR="00CD485C" w:rsidRPr="00D13B67">
        <w:t>co-designers</w:t>
      </w:r>
      <w:r w:rsidR="00766D85" w:rsidRPr="00D13B67">
        <w:t xml:space="preserve"> were offered the choice of meeting in a private office on Langara’s main campus or remotely via Zoom.</w:t>
      </w:r>
    </w:p>
    <w:p w14:paraId="612188EC" w14:textId="3E74F5C2" w:rsidR="00F946D7" w:rsidRPr="00D13B67" w:rsidRDefault="00CD485C" w:rsidP="00AF2655">
      <w:pPr>
        <w:pStyle w:val="Body"/>
      </w:pPr>
      <w:r w:rsidRPr="00D13B67">
        <w:t>Students</w:t>
      </w:r>
      <w:r w:rsidR="00F36031" w:rsidRPr="00D13B67">
        <w:t xml:space="preserve"> were sent a consent form (</w:t>
      </w:r>
      <w:hyperlink w:anchor="_Appendix_A:_Student" w:history="1">
        <w:r w:rsidR="00F36031" w:rsidRPr="00D13B67">
          <w:rPr>
            <w:rStyle w:val="Hyperlink"/>
          </w:rPr>
          <w:t>Appendix A</w:t>
        </w:r>
      </w:hyperlink>
      <w:r w:rsidR="00F36031" w:rsidRPr="00D13B67">
        <w:t xml:space="preserve">). </w:t>
      </w:r>
      <w:r w:rsidR="003D3FED" w:rsidRPr="00D13B67">
        <w:t>The form</w:t>
      </w:r>
      <w:r w:rsidR="0029723A" w:rsidRPr="00D13B67">
        <w:t xml:space="preserve"> </w:t>
      </w:r>
      <w:r w:rsidR="008E1787" w:rsidRPr="00D13B67">
        <w:t xml:space="preserve">explained the purpose, </w:t>
      </w:r>
      <w:r w:rsidR="00F37075" w:rsidRPr="00D13B67">
        <w:t xml:space="preserve">what was to </w:t>
      </w:r>
      <w:r w:rsidR="00EC30AA" w:rsidRPr="00D13B67">
        <w:t>be expected</w:t>
      </w:r>
      <w:r w:rsidR="00F37075" w:rsidRPr="00D13B67">
        <w:t>, the potential benefits, the potential risks, confidentiality</w:t>
      </w:r>
      <w:r w:rsidR="000108C7" w:rsidRPr="00D13B67">
        <w:t xml:space="preserve"> information</w:t>
      </w:r>
      <w:r w:rsidR="00F37075" w:rsidRPr="00D13B67">
        <w:t>, data storage procedure</w:t>
      </w:r>
      <w:r w:rsidR="00703B30" w:rsidRPr="00D13B67">
        <w:t>, incentives</w:t>
      </w:r>
      <w:r w:rsidR="004E766E" w:rsidRPr="00D13B67">
        <w:t xml:space="preserve"> (of which there were none)</w:t>
      </w:r>
      <w:r w:rsidR="00703B30" w:rsidRPr="00D13B67">
        <w:t xml:space="preserve">, the voluntary nature of participation, the </w:t>
      </w:r>
      <w:r w:rsidR="004E766E" w:rsidRPr="00D13B67">
        <w:t xml:space="preserve">planned </w:t>
      </w:r>
      <w:r w:rsidR="00703B30" w:rsidRPr="00D13B67">
        <w:t>publication of results</w:t>
      </w:r>
      <w:r w:rsidR="000117C1" w:rsidRPr="00D13B67">
        <w:t>, and ethics board approval.</w:t>
      </w:r>
      <w:r w:rsidR="00EC30AA" w:rsidRPr="00D13B67">
        <w:t xml:space="preserve"> </w:t>
      </w:r>
      <w:r w:rsidR="001917D3" w:rsidRPr="00D13B67">
        <w:lastRenderedPageBreak/>
        <w:t xml:space="preserve">Students read and completed the form indicating their consent to participate. </w:t>
      </w:r>
      <w:r w:rsidR="00160D3F" w:rsidRPr="00D13B67">
        <w:t xml:space="preserve">Student </w:t>
      </w:r>
      <w:r w:rsidRPr="00D13B67">
        <w:t>co-designers</w:t>
      </w:r>
      <w:r w:rsidR="00160D3F" w:rsidRPr="00D13B67">
        <w:t xml:space="preserve"> were asked to join a one-on-one co-design session with the </w:t>
      </w:r>
      <w:r w:rsidR="00C64BB9">
        <w:t xml:space="preserve">Graduate </w:t>
      </w:r>
      <w:r w:rsidR="00083D47" w:rsidRPr="00D13B67">
        <w:t>Student Researcher</w:t>
      </w:r>
      <w:r w:rsidR="004E766E" w:rsidRPr="00D13B67">
        <w:t>. In these session</w:t>
      </w:r>
      <w:r w:rsidRPr="00D13B67">
        <w:t>s</w:t>
      </w:r>
      <w:r w:rsidR="004E766E" w:rsidRPr="00D13B67">
        <w:t xml:space="preserve">, </w:t>
      </w:r>
      <w:r w:rsidRPr="00D13B67">
        <w:t>students</w:t>
      </w:r>
      <w:r w:rsidR="004E766E" w:rsidRPr="00D13B67">
        <w:t xml:space="preserve"> were </w:t>
      </w:r>
      <w:r w:rsidR="00083D47" w:rsidRPr="00D13B67">
        <w:t>asked to discuss their experience with digital learning material</w:t>
      </w:r>
      <w:r w:rsidR="00FF3383" w:rsidRPr="00D13B67">
        <w:t xml:space="preserve"> through semi-structured interview questions and basic activities (discussed in </w:t>
      </w:r>
      <w:r w:rsidR="00847BB1" w:rsidRPr="00D13B67">
        <w:t>the Data Collection section below</w:t>
      </w:r>
      <w:r w:rsidR="00B178EC" w:rsidRPr="00D13B67">
        <w:t>)</w:t>
      </w:r>
      <w:r w:rsidR="00083D47" w:rsidRPr="00D13B67">
        <w:t xml:space="preserve">. </w:t>
      </w:r>
      <w:r w:rsidR="00003115" w:rsidRPr="00D13B67">
        <w:t>The results of these sessions w</w:t>
      </w:r>
      <w:r w:rsidR="001917D3" w:rsidRPr="00D13B67">
        <w:t>ere</w:t>
      </w:r>
      <w:r w:rsidR="00003115" w:rsidRPr="00D13B67">
        <w:t xml:space="preserve"> collected into a digital resource to be shown to phase </w:t>
      </w:r>
      <w:r w:rsidR="00AF2655" w:rsidRPr="00D13B67">
        <w:t>2</w:t>
      </w:r>
      <w:r w:rsidR="00003115" w:rsidRPr="00D13B67">
        <w:t xml:space="preserve"> participants.</w:t>
      </w:r>
    </w:p>
    <w:p w14:paraId="458A3649" w14:textId="5C0D34B9" w:rsidR="00EC30AA" w:rsidRPr="00D13B67" w:rsidRDefault="004305B7" w:rsidP="006007EB">
      <w:pPr>
        <w:pStyle w:val="Body"/>
      </w:pPr>
      <w:r w:rsidRPr="00D13B67">
        <w:t xml:space="preserve">Phase </w:t>
      </w:r>
      <w:r w:rsidR="00BF2F53" w:rsidRPr="00D13B67">
        <w:t>2</w:t>
      </w:r>
      <w:r w:rsidRPr="00D13B67">
        <w:t xml:space="preserve"> participants</w:t>
      </w:r>
      <w:r w:rsidR="006007EB" w:rsidRPr="00D13B67">
        <w:t xml:space="preserve"> (Langara employees)</w:t>
      </w:r>
      <w:r w:rsidRPr="00D13B67">
        <w:t xml:space="preserve"> viewed </w:t>
      </w:r>
      <w:r w:rsidR="006007EB" w:rsidRPr="00D13B67">
        <w:t xml:space="preserve">the </w:t>
      </w:r>
      <w:r w:rsidRPr="00D13B67">
        <w:t xml:space="preserve">material co-designed in phase </w:t>
      </w:r>
      <w:r w:rsidR="006007EB" w:rsidRPr="00D13B67">
        <w:t>1. Within the material was a call to provide feedback which linked to an information and consent</w:t>
      </w:r>
      <w:r w:rsidR="00A648BE">
        <w:t xml:space="preserve"> form</w:t>
      </w:r>
      <w:r w:rsidR="006007EB" w:rsidRPr="00D13B67">
        <w:t xml:space="preserve"> </w:t>
      </w:r>
      <w:r w:rsidR="00C53D41" w:rsidRPr="00D13B67">
        <w:t>(</w:t>
      </w:r>
      <w:hyperlink w:anchor="_Appendix_B:_Employee" w:history="1">
        <w:r w:rsidR="00C53D41" w:rsidRPr="00D13B67">
          <w:rPr>
            <w:rStyle w:val="Hyperlink"/>
          </w:rPr>
          <w:t>Appendix B</w:t>
        </w:r>
      </w:hyperlink>
      <w:r w:rsidR="00C53D41" w:rsidRPr="00D13B67">
        <w:t>)</w:t>
      </w:r>
      <w:r w:rsidR="00F80F1E" w:rsidRPr="00D13B67">
        <w:t>. The form offered details about the research including what’s involved and how survey results would be collected, stored, and published. As the survey was anonymous, the research explanation was more succinct.</w:t>
      </w:r>
      <w:r w:rsidR="00484BF4" w:rsidRPr="00D13B67">
        <w:t xml:space="preserve"> Any Langara employee that viewed the resource was invited to participate.</w:t>
      </w:r>
    </w:p>
    <w:p w14:paraId="074D2124" w14:textId="19D7426A" w:rsidR="00183B74" w:rsidRPr="00D13B67" w:rsidRDefault="00B318A8" w:rsidP="00183B74">
      <w:pPr>
        <w:pStyle w:val="Heading4"/>
      </w:pPr>
      <w:bookmarkStart w:id="32" w:name="_Toc228867987"/>
      <w:r w:rsidRPr="00D13B67">
        <w:t xml:space="preserve">3.2.2 </w:t>
      </w:r>
      <w:r w:rsidR="00183B74" w:rsidRPr="00D13B67">
        <w:t>Consent and confidentiality</w:t>
      </w:r>
      <w:bookmarkEnd w:id="32"/>
    </w:p>
    <w:p w14:paraId="00E79565" w14:textId="508C6F30" w:rsidR="00003115" w:rsidRPr="00D13B67" w:rsidRDefault="00D444C6" w:rsidP="00CB7CFD">
      <w:pPr>
        <w:pStyle w:val="Body"/>
      </w:pPr>
      <w:r w:rsidRPr="00D13B67">
        <w:t xml:space="preserve">All phase </w:t>
      </w:r>
      <w:r w:rsidR="00BF2F53" w:rsidRPr="00D13B67">
        <w:t>1</w:t>
      </w:r>
      <w:r w:rsidRPr="00D13B67">
        <w:t xml:space="preserve"> </w:t>
      </w:r>
      <w:r w:rsidR="00CD485C" w:rsidRPr="00D13B67">
        <w:t>co-designers</w:t>
      </w:r>
      <w:r w:rsidRPr="00D13B67">
        <w:t xml:space="preserve"> were offered the</w:t>
      </w:r>
      <w:r w:rsidR="009C43FA" w:rsidRPr="00D13B67">
        <w:t xml:space="preserve"> option to remain anonymous</w:t>
      </w:r>
      <w:r w:rsidR="00813E92" w:rsidRPr="00D13B67">
        <w:t xml:space="preserve"> via a question in the consent form</w:t>
      </w:r>
      <w:r w:rsidR="00FE42F4" w:rsidRPr="00D13B67">
        <w:t xml:space="preserve"> and a follow-up reminder </w:t>
      </w:r>
      <w:r w:rsidR="00254FAB" w:rsidRPr="00D13B67">
        <w:t>during and</w:t>
      </w:r>
      <w:r w:rsidR="00FE42F4" w:rsidRPr="00D13B67">
        <w:t xml:space="preserve"> after the co-design session. </w:t>
      </w:r>
      <w:r w:rsidR="009C43FA" w:rsidRPr="00D13B67">
        <w:t xml:space="preserve">Some </w:t>
      </w:r>
      <w:r w:rsidR="00CD485C" w:rsidRPr="00D13B67">
        <w:t>co-designers</w:t>
      </w:r>
      <w:r w:rsidR="009C43FA" w:rsidRPr="00D13B67">
        <w:t xml:space="preserve"> were </w:t>
      </w:r>
      <w:r w:rsidR="002052D1" w:rsidRPr="00D13B67">
        <w:t xml:space="preserve">(at time of research) </w:t>
      </w:r>
      <w:r w:rsidR="009C43FA" w:rsidRPr="00D13B67">
        <w:t xml:space="preserve">current Langara students and all </w:t>
      </w:r>
      <w:r w:rsidR="00CD485C" w:rsidRPr="00D13B67">
        <w:t>students</w:t>
      </w:r>
      <w:r w:rsidR="009C43FA" w:rsidRPr="00D13B67">
        <w:t xml:space="preserve"> </w:t>
      </w:r>
      <w:r w:rsidR="00FE42F4" w:rsidRPr="00D13B67">
        <w:t xml:space="preserve">were reminded </w:t>
      </w:r>
      <w:r w:rsidR="009C43FA" w:rsidRPr="00D13B67">
        <w:t>that</w:t>
      </w:r>
      <w:r w:rsidR="002052D1" w:rsidRPr="00D13B67">
        <w:t xml:space="preserve"> if they chose to be named, that information would be public to current and future instructors. While the chance of potential prejudice </w:t>
      </w:r>
      <w:r w:rsidR="00614643" w:rsidRPr="00D13B67">
        <w:t xml:space="preserve">or retribution </w:t>
      </w:r>
      <w:r w:rsidR="002052D1" w:rsidRPr="00D13B67">
        <w:t>was presumed to be low</w:t>
      </w:r>
      <w:r w:rsidR="00614643" w:rsidRPr="00D13B67">
        <w:t xml:space="preserve">, the risk is not zero. </w:t>
      </w:r>
      <w:r w:rsidR="009C43FA" w:rsidRPr="00D13B67">
        <w:t xml:space="preserve">Only one </w:t>
      </w:r>
      <w:r w:rsidR="00CD485C" w:rsidRPr="00D13B67">
        <w:t>co-designer</w:t>
      </w:r>
      <w:r w:rsidR="009C43FA" w:rsidRPr="00D13B67">
        <w:t xml:space="preserve"> chose to remain anonymous.</w:t>
      </w:r>
      <w:r w:rsidR="00412E69" w:rsidRPr="00D13B67">
        <w:t xml:space="preserve"> </w:t>
      </w:r>
      <w:r w:rsidR="00847BB1" w:rsidRPr="00D13B67">
        <w:t xml:space="preserve">All </w:t>
      </w:r>
      <w:r w:rsidR="00CD485C" w:rsidRPr="00D13B67">
        <w:t>co-designers</w:t>
      </w:r>
      <w:r w:rsidR="00847BB1" w:rsidRPr="00D13B67">
        <w:t xml:space="preserve"> were informed of major milestones such as completion of phase </w:t>
      </w:r>
      <w:r w:rsidR="00CB7CFD" w:rsidRPr="00D13B67">
        <w:t>1</w:t>
      </w:r>
      <w:r w:rsidR="00847BB1" w:rsidRPr="00D13B67">
        <w:t xml:space="preserve"> research, </w:t>
      </w:r>
      <w:r w:rsidR="00E17DAD" w:rsidRPr="00D13B67">
        <w:t xml:space="preserve">creation (of which two </w:t>
      </w:r>
      <w:r w:rsidR="00CD485C" w:rsidRPr="00D13B67">
        <w:t>co-designers</w:t>
      </w:r>
      <w:r w:rsidR="00E17DAD" w:rsidRPr="00D13B67">
        <w:t xml:space="preserve"> provided feedback) and</w:t>
      </w:r>
      <w:r w:rsidR="00847BB1" w:rsidRPr="00D13B67">
        <w:t xml:space="preserve"> publication of the collected resource</w:t>
      </w:r>
      <w:r w:rsidR="00E17DAD" w:rsidRPr="00D13B67">
        <w:t xml:space="preserve">, and other notable events. </w:t>
      </w:r>
      <w:r w:rsidR="00105BA4" w:rsidRPr="00D13B67">
        <w:t xml:space="preserve"> </w:t>
      </w:r>
    </w:p>
    <w:p w14:paraId="0F6E303E" w14:textId="61917A93" w:rsidR="00412E69" w:rsidRPr="00D13B67" w:rsidRDefault="00CB7CFD" w:rsidP="00E470C9">
      <w:pPr>
        <w:pStyle w:val="Body"/>
      </w:pPr>
      <w:r w:rsidRPr="00D13B67">
        <w:lastRenderedPageBreak/>
        <w:t xml:space="preserve">Student </w:t>
      </w:r>
      <w:r w:rsidR="00CD485C" w:rsidRPr="00D13B67">
        <w:t>co-designers</w:t>
      </w:r>
      <w:r w:rsidR="00412E69" w:rsidRPr="00D13B67">
        <w:t xml:space="preserve"> were informed of their right to revoke consent at any time up until October 31, </w:t>
      </w:r>
      <w:r w:rsidRPr="00D13B67">
        <w:t>2025,</w:t>
      </w:r>
      <w:r w:rsidR="00412E69" w:rsidRPr="00D13B67">
        <w:t xml:space="preserve"> when the results of phase </w:t>
      </w:r>
      <w:r w:rsidRPr="00D13B67">
        <w:t>1</w:t>
      </w:r>
      <w:r w:rsidR="00412E69" w:rsidRPr="00D13B67">
        <w:t xml:space="preserve"> would be collected and distributed to potential phase </w:t>
      </w:r>
      <w:r w:rsidRPr="00D13B67">
        <w:t>2</w:t>
      </w:r>
      <w:r w:rsidR="00412E69" w:rsidRPr="00D13B67">
        <w:t xml:space="preserve"> participants. </w:t>
      </w:r>
      <w:r w:rsidR="00193B3A" w:rsidRPr="00D13B67">
        <w:t xml:space="preserve">Student </w:t>
      </w:r>
      <w:r w:rsidR="00CD485C" w:rsidRPr="00D13B67">
        <w:t>co-designers</w:t>
      </w:r>
      <w:r w:rsidR="00193B3A" w:rsidRPr="00D13B67">
        <w:t xml:space="preserve"> were repeatedly reminded that their participation and any comments made or actions taken would have no bearing on their future access to Langara support services and that Luke McKnight was acting as an OCADU </w:t>
      </w:r>
      <w:r w:rsidR="00C64BB9">
        <w:t xml:space="preserve">Graduate </w:t>
      </w:r>
      <w:r w:rsidR="00193B3A" w:rsidRPr="00D13B67">
        <w:t>Student Researcher, not Langara</w:t>
      </w:r>
      <w:r w:rsidR="00E470C9" w:rsidRPr="00D13B67">
        <w:t>’s</w:t>
      </w:r>
      <w:r w:rsidR="00193B3A" w:rsidRPr="00D13B67">
        <w:t xml:space="preserve"> Assistive Technologist, for the </w:t>
      </w:r>
      <w:r w:rsidR="00254FAB" w:rsidRPr="00D13B67">
        <w:t>entirety</w:t>
      </w:r>
      <w:r w:rsidR="00193B3A" w:rsidRPr="00D13B67">
        <w:t xml:space="preserve"> of their interaction regarding the research project.</w:t>
      </w:r>
    </w:p>
    <w:p w14:paraId="6CEC131B" w14:textId="742D1AA7" w:rsidR="00C27A03" w:rsidRPr="00D13B67" w:rsidRDefault="00C27A03" w:rsidP="00E470C9">
      <w:pPr>
        <w:pStyle w:val="Body"/>
      </w:pPr>
      <w:r w:rsidRPr="00D13B67">
        <w:t xml:space="preserve">Phase </w:t>
      </w:r>
      <w:r w:rsidR="00BF2F53" w:rsidRPr="00D13B67">
        <w:t xml:space="preserve">2 </w:t>
      </w:r>
      <w:r w:rsidR="00DA49F7" w:rsidRPr="00D13B67">
        <w:t>participants</w:t>
      </w:r>
      <w:r w:rsidRPr="00D13B67">
        <w:t xml:space="preserve"> </w:t>
      </w:r>
      <w:r w:rsidR="002A7004" w:rsidRPr="00D13B67">
        <w:t xml:space="preserve">(Langara employees) </w:t>
      </w:r>
      <w:r w:rsidRPr="00D13B67">
        <w:t xml:space="preserve">were informed of their anonymity </w:t>
      </w:r>
      <w:r w:rsidR="00DA49F7" w:rsidRPr="00D13B67">
        <w:t>in the consent form.</w:t>
      </w:r>
      <w:r w:rsidR="00E470C9" w:rsidRPr="00D13B67">
        <w:t xml:space="preserve"> The consent form did not ask for</w:t>
      </w:r>
      <w:r w:rsidR="002A7004" w:rsidRPr="00D13B67">
        <w:rPr>
          <w:rFonts w:ascii="Aptos" w:hAnsi="Aptos"/>
        </w:rPr>
        <w:t>—</w:t>
      </w:r>
      <w:r w:rsidR="00E470C9" w:rsidRPr="00D13B67">
        <w:t>nor did it automatically record</w:t>
      </w:r>
      <w:r w:rsidR="002A7004" w:rsidRPr="00D13B67">
        <w:rPr>
          <w:rFonts w:ascii="Aptos" w:hAnsi="Aptos"/>
        </w:rPr>
        <w:t>—</w:t>
      </w:r>
      <w:r w:rsidR="00E470C9" w:rsidRPr="00D13B67">
        <w:t xml:space="preserve">names or email addresses. </w:t>
      </w:r>
    </w:p>
    <w:p w14:paraId="16468540" w14:textId="2AF000A5" w:rsidR="00183B74" w:rsidRPr="00D13B67" w:rsidRDefault="00B318A8" w:rsidP="00183B74">
      <w:pPr>
        <w:pStyle w:val="Heading4"/>
      </w:pPr>
      <w:bookmarkStart w:id="33" w:name="_Toc228867988"/>
      <w:r w:rsidRPr="00D13B67">
        <w:t xml:space="preserve">3.2.3 </w:t>
      </w:r>
      <w:r w:rsidR="00183B74" w:rsidRPr="00D13B67">
        <w:t>Ethics committee approval</w:t>
      </w:r>
      <w:bookmarkEnd w:id="33"/>
    </w:p>
    <w:p w14:paraId="0AA5197C" w14:textId="613B97CC" w:rsidR="00DA682D" w:rsidRPr="00D13B67" w:rsidRDefault="00DA682D" w:rsidP="00B8299E">
      <w:pPr>
        <w:pStyle w:val="Body"/>
      </w:pPr>
      <w:r w:rsidRPr="00D13B67">
        <w:t xml:space="preserve">This research project was approved by the </w:t>
      </w:r>
      <w:r w:rsidR="00183B74" w:rsidRPr="00D13B67">
        <w:t>OCAD</w:t>
      </w:r>
      <w:r w:rsidR="00254FAB" w:rsidRPr="00D13B67">
        <w:t xml:space="preserve"> </w:t>
      </w:r>
      <w:r w:rsidR="00183B74" w:rsidRPr="00D13B67">
        <w:t>U</w:t>
      </w:r>
      <w:r w:rsidR="00254FAB" w:rsidRPr="00D13B67">
        <w:t>niversity</w:t>
      </w:r>
      <w:r w:rsidR="00183B74" w:rsidRPr="00D13B67">
        <w:t xml:space="preserve"> </w:t>
      </w:r>
      <w:r w:rsidR="00EA21B4" w:rsidRPr="00D13B67">
        <w:t xml:space="preserve">Research Ethics Board (REB) </w:t>
      </w:r>
      <w:r w:rsidRPr="00D13B67">
        <w:t xml:space="preserve">as this </w:t>
      </w:r>
      <w:r w:rsidR="002572E0" w:rsidRPr="00D13B67">
        <w:t>project</w:t>
      </w:r>
      <w:r w:rsidRPr="00D13B67">
        <w:t xml:space="preserve"> was undertaken as partial fulfillment of the requirements for the degree of Master of Design in Inclusive Design</w:t>
      </w:r>
      <w:r w:rsidR="00254FAB" w:rsidRPr="00D13B67">
        <w:t xml:space="preserve"> at OCAD University</w:t>
      </w:r>
      <w:r w:rsidR="002572E0" w:rsidRPr="00D13B67">
        <w:t>. Approval was also sought from the</w:t>
      </w:r>
      <w:r w:rsidRPr="00D13B67">
        <w:t xml:space="preserve"> Langara College Research Ethics Board (LREB) as the research occurred at Langara College involving Langara students and employees. </w:t>
      </w:r>
    </w:p>
    <w:p w14:paraId="28F17E85" w14:textId="2427E5D0" w:rsidR="00EA21B4" w:rsidRPr="00D13B67" w:rsidRDefault="00892633" w:rsidP="00943CFB">
      <w:pPr>
        <w:pStyle w:val="Body"/>
      </w:pPr>
      <w:r w:rsidRPr="00D13B67">
        <w:t xml:space="preserve">OCADU REB approval was submitted on May 5, </w:t>
      </w:r>
      <w:r w:rsidR="007F3CF5" w:rsidRPr="00D13B67">
        <w:t>2025,</w:t>
      </w:r>
      <w:r w:rsidRPr="00D13B67">
        <w:t xml:space="preserve"> and approved on August 5, </w:t>
      </w:r>
      <w:r w:rsidR="007F3CF5" w:rsidRPr="00D13B67">
        <w:t>2025,</w:t>
      </w:r>
      <w:r w:rsidRPr="00D13B67">
        <w:t xml:space="preserve"> </w:t>
      </w:r>
      <w:r w:rsidR="007A1192" w:rsidRPr="00D13B67">
        <w:t>under approval number</w:t>
      </w:r>
      <w:r w:rsidR="00EA21B4" w:rsidRPr="00D13B67">
        <w:t xml:space="preserve"> 2025-42</w:t>
      </w:r>
      <w:r w:rsidR="00EC67AC" w:rsidRPr="00D13B67">
        <w:t xml:space="preserve">. </w:t>
      </w:r>
      <w:r w:rsidR="007A1192" w:rsidRPr="00D13B67">
        <w:t>An a</w:t>
      </w:r>
      <w:r w:rsidR="00B85F60" w:rsidRPr="00D13B67">
        <w:t>mendment</w:t>
      </w:r>
      <w:r w:rsidR="00EA21B4" w:rsidRPr="00D13B67">
        <w:t xml:space="preserve"> </w:t>
      </w:r>
      <w:r w:rsidR="00B85F60" w:rsidRPr="00D13B67">
        <w:t xml:space="preserve">to change phase </w:t>
      </w:r>
      <w:r w:rsidR="00BF2F53" w:rsidRPr="00D13B67">
        <w:t>2</w:t>
      </w:r>
      <w:r w:rsidR="00B85F60" w:rsidRPr="00D13B67">
        <w:t xml:space="preserve"> from interviews to </w:t>
      </w:r>
      <w:r w:rsidR="002F42A3" w:rsidRPr="00D13B67">
        <w:t>an</w:t>
      </w:r>
      <w:r w:rsidR="00B85F60" w:rsidRPr="00D13B67">
        <w:t xml:space="preserve"> anonymous survey </w:t>
      </w:r>
      <w:r w:rsidR="007F3CF5" w:rsidRPr="00D13B67">
        <w:t xml:space="preserve">was submitted on October 16, 2025, and </w:t>
      </w:r>
      <w:r w:rsidR="00B85F60" w:rsidRPr="00D13B67">
        <w:t>approved October 21, 2025.</w:t>
      </w:r>
      <w:r w:rsidR="00E77F0D" w:rsidRPr="00D13B67">
        <w:t xml:space="preserve"> The change from employee interviews to an anonymous </w:t>
      </w:r>
      <w:r w:rsidR="006331E1" w:rsidRPr="00D13B67">
        <w:t xml:space="preserve">employee survey was </w:t>
      </w:r>
      <w:r w:rsidR="00943CFB" w:rsidRPr="00D13B67">
        <w:t>made</w:t>
      </w:r>
      <w:r w:rsidR="006331E1" w:rsidRPr="00D13B67">
        <w:t xml:space="preserve"> in response to changing circumstances at Langara </w:t>
      </w:r>
      <w:r w:rsidR="00F92A42" w:rsidRPr="00D13B67">
        <w:t>C</w:t>
      </w:r>
      <w:r w:rsidR="006331E1" w:rsidRPr="00D13B67">
        <w:t>ollege</w:t>
      </w:r>
      <w:r w:rsidR="00F92A42" w:rsidRPr="00D13B67">
        <w:t>, particularly significant layoffs</w:t>
      </w:r>
      <w:r w:rsidR="009229F3" w:rsidRPr="00D13B67">
        <w:t xml:space="preserve"> of faculty and staff</w:t>
      </w:r>
      <w:r w:rsidR="00F92A42" w:rsidRPr="00D13B67">
        <w:t xml:space="preserve"> (Jones, 2025).</w:t>
      </w:r>
    </w:p>
    <w:p w14:paraId="546AC12D" w14:textId="61BA16FC" w:rsidR="00D91D5C" w:rsidRPr="00D13B67" w:rsidRDefault="007F3CF5" w:rsidP="00943CFB">
      <w:pPr>
        <w:pStyle w:val="Body"/>
      </w:pPr>
      <w:r w:rsidRPr="00D13B67">
        <w:lastRenderedPageBreak/>
        <w:t>LREB approval</w:t>
      </w:r>
      <w:r w:rsidR="00653D79" w:rsidRPr="00D13B67">
        <w:t xml:space="preserve"> was sought on June 11, 2025, and approved July 17, </w:t>
      </w:r>
      <w:r w:rsidR="00DD5BAD" w:rsidRPr="00D13B67">
        <w:t>2025,</w:t>
      </w:r>
      <w:r w:rsidR="00653D79" w:rsidRPr="00D13B67">
        <w:t xml:space="preserve"> under approval code</w:t>
      </w:r>
      <w:r w:rsidR="00636AF0" w:rsidRPr="00D13B67">
        <w:t xml:space="preserve"> 20250611-McKnight</w:t>
      </w:r>
      <w:r w:rsidR="00653D79" w:rsidRPr="00D13B67">
        <w:t>.</w:t>
      </w:r>
      <w:r w:rsidR="00DD5BAD" w:rsidRPr="00D13B67">
        <w:t xml:space="preserve"> </w:t>
      </w:r>
      <w:r w:rsidR="00636AF0" w:rsidRPr="00D13B67">
        <w:t>A</w:t>
      </w:r>
      <w:r w:rsidR="00653D79" w:rsidRPr="00D13B67">
        <w:t>n a</w:t>
      </w:r>
      <w:r w:rsidR="00636AF0" w:rsidRPr="00D13B67">
        <w:t xml:space="preserve">mendment to change phase </w:t>
      </w:r>
      <w:r w:rsidR="00BF2F53" w:rsidRPr="00D13B67">
        <w:t>2</w:t>
      </w:r>
      <w:r w:rsidR="00636AF0" w:rsidRPr="00D13B67">
        <w:t xml:space="preserve"> from interviews to anonymous survey </w:t>
      </w:r>
      <w:r w:rsidR="00DD5BAD" w:rsidRPr="00D13B67">
        <w:t xml:space="preserve">was submitted on </w:t>
      </w:r>
      <w:r w:rsidR="00574569" w:rsidRPr="00D13B67">
        <w:t>October</w:t>
      </w:r>
      <w:r w:rsidR="00DD5BAD" w:rsidRPr="00D13B67">
        <w:t xml:space="preserve"> 17, 2025, and </w:t>
      </w:r>
      <w:r w:rsidR="00636AF0" w:rsidRPr="00D13B67">
        <w:t>approved October 21, 2025.</w:t>
      </w:r>
    </w:p>
    <w:p w14:paraId="0A3F907B" w14:textId="3A03EE57" w:rsidR="5A912C1D" w:rsidRPr="00D13B67" w:rsidRDefault="4335ED92" w:rsidP="36910778">
      <w:pPr>
        <w:pStyle w:val="Heading3"/>
      </w:pPr>
      <w:bookmarkStart w:id="34" w:name="_Toc228867989"/>
      <w:r w:rsidRPr="00D13B67">
        <w:t>3.</w:t>
      </w:r>
      <w:r w:rsidR="30B6FA3A" w:rsidRPr="00D13B67">
        <w:t>3</w:t>
      </w:r>
      <w:r w:rsidRPr="00D13B67">
        <w:t xml:space="preserve"> </w:t>
      </w:r>
      <w:r w:rsidR="5A912C1D" w:rsidRPr="00D13B67">
        <w:t>Data collection process</w:t>
      </w:r>
      <w:bookmarkEnd w:id="34"/>
    </w:p>
    <w:p w14:paraId="50AECE00" w14:textId="55B1B2EA" w:rsidR="00C1751A" w:rsidRPr="00D13B67" w:rsidRDefault="00DC5E79" w:rsidP="00C1751A">
      <w:pPr>
        <w:pStyle w:val="Body"/>
      </w:pPr>
      <w:r w:rsidRPr="00D13B67">
        <w:t xml:space="preserve">The research for this project consists of two phases: 1) semi-structured interview co-design sessions with post-secondary students and 2) </w:t>
      </w:r>
      <w:r w:rsidR="0060518B" w:rsidRPr="00D13B67">
        <w:t xml:space="preserve">an </w:t>
      </w:r>
      <w:r w:rsidRPr="00D13B67">
        <w:t>anonymous survey of post-secondary employees</w:t>
      </w:r>
      <w:r w:rsidR="00A4496C" w:rsidRPr="00D13B67">
        <w:t>.</w:t>
      </w:r>
      <w:r w:rsidR="00C1751A" w:rsidRPr="00D13B67">
        <w:t xml:space="preserve"> </w:t>
      </w:r>
      <w:r w:rsidR="002F6E72" w:rsidRPr="00D13B67">
        <w:t>Qualitative methods are considered particularly useful when there is little existing research on a topic (Draper, 2004).</w:t>
      </w:r>
      <w:r w:rsidR="00BA061B" w:rsidRPr="00D13B67">
        <w:t xml:space="preserve"> As there is limited research about the experiences of</w:t>
      </w:r>
      <w:r w:rsidR="00CB7EA4" w:rsidRPr="00D13B67">
        <w:t xml:space="preserve"> disabled student</w:t>
      </w:r>
      <w:r w:rsidR="00BA061B" w:rsidRPr="00D13B67">
        <w:t xml:space="preserve">s </w:t>
      </w:r>
      <w:r w:rsidR="00CB7EA4" w:rsidRPr="00D13B67">
        <w:t>with digital learning materials</w:t>
      </w:r>
      <w:r w:rsidR="00205FCE" w:rsidRPr="00D13B67">
        <w:t xml:space="preserve">, qualitative methods </w:t>
      </w:r>
      <w:r w:rsidR="004A4546" w:rsidRPr="00D13B67">
        <w:t>may be useful to unearth fresh perspectives and insights</w:t>
      </w:r>
      <w:r w:rsidR="004C0F6C" w:rsidRPr="00D13B67">
        <w:t>.</w:t>
      </w:r>
      <w:r w:rsidR="00102C09" w:rsidRPr="00D13B67">
        <w:t xml:space="preserve"> The initial intention for phase 2 was to interview post-secondary employees. However, as noted in section 3.2.3, the decision to switch to a survey was made given the tumultuous </w:t>
      </w:r>
      <w:r w:rsidR="009A1CF7" w:rsidRPr="00D13B67">
        <w:t xml:space="preserve">nature of the sector and precarity of employment at Langara College during the period the research was conducted. </w:t>
      </w:r>
    </w:p>
    <w:p w14:paraId="4592ECD4" w14:textId="1B0AB112" w:rsidR="00314EE2" w:rsidRPr="00D13B67" w:rsidRDefault="00DB166A" w:rsidP="007E0F1F">
      <w:pPr>
        <w:pStyle w:val="Body"/>
      </w:pPr>
      <w:r w:rsidRPr="00D13B67">
        <w:t xml:space="preserve">‘Big data’ </w:t>
      </w:r>
      <w:r w:rsidR="00C1751A" w:rsidRPr="00D13B67">
        <w:t xml:space="preserve">is </w:t>
      </w:r>
      <w:r w:rsidR="00AF7F08" w:rsidRPr="00D13B67">
        <w:t>useful for exposing areas to investigate, revealing patterns</w:t>
      </w:r>
      <w:r w:rsidR="00C1001D" w:rsidRPr="00D13B67">
        <w:t>, and identifying outliers</w:t>
      </w:r>
      <w:r w:rsidR="00A30797" w:rsidRPr="00D13B67">
        <w:t xml:space="preserve"> (Holmes, 2018). </w:t>
      </w:r>
      <w:r w:rsidR="00E263D7" w:rsidRPr="00D13B67">
        <w:t xml:space="preserve">For this project, a broad survey that </w:t>
      </w:r>
      <w:r w:rsidR="002F42A3" w:rsidRPr="00D13B67">
        <w:t>obtained potentially</w:t>
      </w:r>
      <w:r w:rsidR="00E263D7" w:rsidRPr="00D13B67">
        <w:t xml:space="preserve"> hundreds of responses </w:t>
      </w:r>
      <w:r w:rsidR="004604CC" w:rsidRPr="00D13B67">
        <w:t>could</w:t>
      </w:r>
      <w:r w:rsidR="00E263D7" w:rsidRPr="00D13B67">
        <w:t xml:space="preserve"> be useful to understand how many students experienced difficulties </w:t>
      </w:r>
      <w:r w:rsidR="00246721" w:rsidRPr="00D13B67">
        <w:t xml:space="preserve">accessing and using digital learning material. However, </w:t>
      </w:r>
      <w:r w:rsidR="00DB28C3" w:rsidRPr="00D13B67">
        <w:t xml:space="preserve">big data of that nature would not illuminate disability, the complexities of assistive technology, or the nuance of specific file formats. </w:t>
      </w:r>
      <w:r w:rsidR="00723A65" w:rsidRPr="00D13B67">
        <w:t>By focusing on individuals and their contexts</w:t>
      </w:r>
      <w:r w:rsidR="004604CC" w:rsidRPr="00D13B67">
        <w:t>,</w:t>
      </w:r>
      <w:r w:rsidR="00723A65" w:rsidRPr="00D13B67">
        <w:t xml:space="preserve"> this research seeks to </w:t>
      </w:r>
      <w:r w:rsidR="00492C17" w:rsidRPr="00D13B67">
        <w:t>prompt t</w:t>
      </w:r>
      <w:r w:rsidR="00AB1BBA" w:rsidRPr="00D13B67">
        <w:t>hick descriptions</w:t>
      </w:r>
      <w:r w:rsidR="00492C17" w:rsidRPr="00D13B67">
        <w:t>. Such detailed data</w:t>
      </w:r>
      <w:r w:rsidR="00AB1BBA" w:rsidRPr="00D13B67">
        <w:t xml:space="preserve"> consider</w:t>
      </w:r>
      <w:r w:rsidR="00492C17" w:rsidRPr="00D13B67">
        <w:t xml:space="preserve">s </w:t>
      </w:r>
      <w:r w:rsidR="00AB1BBA" w:rsidRPr="00D13B67">
        <w:t>the context</w:t>
      </w:r>
      <w:r w:rsidR="00C44917" w:rsidRPr="00D13B67">
        <w:t xml:space="preserve">, emotions, and behaviours </w:t>
      </w:r>
      <w:r w:rsidR="00FC6B88" w:rsidRPr="00D13B67">
        <w:t>contributing to</w:t>
      </w:r>
      <w:r w:rsidR="00492C17" w:rsidRPr="00D13B67">
        <w:t xml:space="preserve"> an interaction</w:t>
      </w:r>
      <w:r w:rsidR="00C44917" w:rsidRPr="00D13B67">
        <w:t xml:space="preserve"> (</w:t>
      </w:r>
      <w:proofErr w:type="spellStart"/>
      <w:r w:rsidR="00C44917" w:rsidRPr="00D13B67">
        <w:rPr>
          <w:rStyle w:val="citation-item"/>
        </w:rPr>
        <w:t>Ponterotto</w:t>
      </w:r>
      <w:proofErr w:type="spellEnd"/>
      <w:r w:rsidR="00C44917" w:rsidRPr="00D13B67">
        <w:rPr>
          <w:rStyle w:val="citation-item"/>
        </w:rPr>
        <w:t>, 2006)</w:t>
      </w:r>
      <w:r w:rsidR="00BA40A8" w:rsidRPr="00D13B67">
        <w:rPr>
          <w:rStyle w:val="citation-item"/>
        </w:rPr>
        <w:t>.</w:t>
      </w:r>
      <w:r w:rsidR="00C1751A" w:rsidRPr="00D13B67">
        <w:rPr>
          <w:rStyle w:val="citation-item"/>
        </w:rPr>
        <w:t xml:space="preserve"> </w:t>
      </w:r>
      <w:r w:rsidR="00A24E25" w:rsidRPr="00D13B67">
        <w:rPr>
          <w:rStyle w:val="citation-item"/>
        </w:rPr>
        <w:t xml:space="preserve">Where </w:t>
      </w:r>
      <w:r w:rsidR="00057D0F" w:rsidRPr="00D13B67">
        <w:rPr>
          <w:rStyle w:val="citation-item"/>
        </w:rPr>
        <w:t xml:space="preserve">qualitative research produces sufficiently thick descriptions of </w:t>
      </w:r>
      <w:r w:rsidR="00B81E50" w:rsidRPr="00D13B67">
        <w:rPr>
          <w:rStyle w:val="citation-item"/>
        </w:rPr>
        <w:t xml:space="preserve">user experiences, </w:t>
      </w:r>
      <w:r w:rsidR="00A61F09" w:rsidRPr="00D13B67">
        <w:rPr>
          <w:rStyle w:val="citation-item"/>
        </w:rPr>
        <w:t xml:space="preserve">“the reader </w:t>
      </w:r>
      <w:r w:rsidR="00A61F09" w:rsidRPr="00D13B67">
        <w:rPr>
          <w:rStyle w:val="citation-item"/>
        </w:rPr>
        <w:lastRenderedPageBreak/>
        <w:t>experiences a sense of verisimilitude as they read the researcher’s account” (p. 542). As this work intends to prompt</w:t>
      </w:r>
      <w:r w:rsidR="00E90F39" w:rsidRPr="00D13B67">
        <w:rPr>
          <w:rStyle w:val="citation-item"/>
        </w:rPr>
        <w:t xml:space="preserve"> action based on empathy instead </w:t>
      </w:r>
      <w:r w:rsidR="00F759A5" w:rsidRPr="00D13B67">
        <w:rPr>
          <w:rStyle w:val="citation-item"/>
        </w:rPr>
        <w:t xml:space="preserve">of the threat of legal enforcement, such descriptions are the intention. As such, this research sets out to </w:t>
      </w:r>
      <w:r w:rsidR="00663D33" w:rsidRPr="00D13B67">
        <w:rPr>
          <w:rStyle w:val="citation-item"/>
        </w:rPr>
        <w:t xml:space="preserve">capture deep responses </w:t>
      </w:r>
      <w:r w:rsidR="00170330" w:rsidRPr="00D13B67">
        <w:rPr>
          <w:rStyle w:val="citation-item"/>
        </w:rPr>
        <w:t>as opposed to</w:t>
      </w:r>
      <w:r w:rsidR="00663D33" w:rsidRPr="00D13B67">
        <w:rPr>
          <w:rStyle w:val="citation-item"/>
        </w:rPr>
        <w:t xml:space="preserve"> a great number of responses.</w:t>
      </w:r>
    </w:p>
    <w:p w14:paraId="439679F4" w14:textId="50E67D61" w:rsidR="1CBFEE22" w:rsidRPr="00D13B67" w:rsidRDefault="4B4D8C19" w:rsidP="2C53DD6C">
      <w:pPr>
        <w:pStyle w:val="Heading4"/>
      </w:pPr>
      <w:bookmarkStart w:id="35" w:name="_Toc228867990"/>
      <w:r w:rsidRPr="00D13B67">
        <w:t>3.</w:t>
      </w:r>
      <w:r w:rsidR="1371ED50" w:rsidRPr="00D13B67">
        <w:t>3</w:t>
      </w:r>
      <w:r w:rsidRPr="00D13B67">
        <w:t xml:space="preserve">.1 </w:t>
      </w:r>
      <w:r w:rsidR="1CBFEE22" w:rsidRPr="00D13B67">
        <w:t>Phase 1</w:t>
      </w:r>
      <w:bookmarkEnd w:id="35"/>
    </w:p>
    <w:p w14:paraId="321F5422" w14:textId="2F9FC90F" w:rsidR="00CF2842" w:rsidRPr="00D13B67" w:rsidRDefault="008F3DDA" w:rsidP="00524BCD">
      <w:pPr>
        <w:pStyle w:val="Body"/>
      </w:pPr>
      <w:r w:rsidRPr="00D13B67">
        <w:t xml:space="preserve">In the first phase of the research, five </w:t>
      </w:r>
      <w:r w:rsidR="002A3EC1" w:rsidRPr="00D13B67">
        <w:t xml:space="preserve">students participated in semi-structured </w:t>
      </w:r>
      <w:r w:rsidR="004604CC" w:rsidRPr="00D13B67">
        <w:t>co-design</w:t>
      </w:r>
      <w:r w:rsidR="00B50986" w:rsidRPr="00D13B67">
        <w:t xml:space="preserve"> </w:t>
      </w:r>
      <w:r w:rsidR="002A3EC1" w:rsidRPr="00D13B67">
        <w:t>s</w:t>
      </w:r>
      <w:r w:rsidR="00B50986" w:rsidRPr="00D13B67">
        <w:t>essions</w:t>
      </w:r>
      <w:r w:rsidR="002A3EC1" w:rsidRPr="00D13B67">
        <w:t>.</w:t>
      </w:r>
      <w:r w:rsidR="007867CC" w:rsidRPr="00D13B67">
        <w:t xml:space="preserve"> </w:t>
      </w:r>
      <w:r w:rsidR="009B3667" w:rsidRPr="00D13B67">
        <w:t>Semi-structured interviews afford collaborators the space to explore their own ideas</w:t>
      </w:r>
      <w:r w:rsidR="00A53261" w:rsidRPr="00D13B67">
        <w:t xml:space="preserve"> while maintaining consistency between sessions (</w:t>
      </w:r>
      <w:r w:rsidR="000F380F" w:rsidRPr="00D13B67">
        <w:t>IDRC, 2023</w:t>
      </w:r>
      <w:r w:rsidR="0005335B" w:rsidRPr="00D13B67">
        <w:t>b</w:t>
      </w:r>
      <w:r w:rsidR="000F380F" w:rsidRPr="00D13B67">
        <w:t>).</w:t>
      </w:r>
      <w:r w:rsidR="009B3667" w:rsidRPr="00D13B67">
        <w:t xml:space="preserve"> </w:t>
      </w:r>
      <w:r w:rsidR="002475C0" w:rsidRPr="00D13B67">
        <w:t>This freedom to explore is essential to gaining a deep understanding of issues</w:t>
      </w:r>
      <w:r w:rsidR="00360118" w:rsidRPr="00D13B67">
        <w:t xml:space="preserve"> and how issues </w:t>
      </w:r>
      <w:r w:rsidR="00BE6114" w:rsidRPr="00D13B67">
        <w:t xml:space="preserve">affect </w:t>
      </w:r>
      <w:r w:rsidR="002475C0" w:rsidRPr="00D13B67">
        <w:t xml:space="preserve">diverse </w:t>
      </w:r>
      <w:r w:rsidR="00360118" w:rsidRPr="00D13B67">
        <w:t>perspectives</w:t>
      </w:r>
      <w:r w:rsidR="00BE6114" w:rsidRPr="00D13B67">
        <w:t xml:space="preserve"> (IDRC, 2023</w:t>
      </w:r>
      <w:r w:rsidR="0005335B" w:rsidRPr="00D13B67">
        <w:t>b</w:t>
      </w:r>
      <w:r w:rsidR="00BE6114" w:rsidRPr="00D13B67">
        <w:t>).</w:t>
      </w:r>
      <w:r w:rsidR="002475C0" w:rsidRPr="00D13B67">
        <w:t xml:space="preserve"> </w:t>
      </w:r>
      <w:r w:rsidR="002A3EC1" w:rsidRPr="00D13B67">
        <w:t>Three sessions were conducted in person</w:t>
      </w:r>
      <w:r w:rsidR="00B50986" w:rsidRPr="00D13B67">
        <w:t xml:space="preserve"> in a private meeting room at Langara College</w:t>
      </w:r>
      <w:r w:rsidR="002A3EC1" w:rsidRPr="00D13B67">
        <w:t xml:space="preserve"> and two occurred remotely via Zoom. The shortest session was 50 minutes and the </w:t>
      </w:r>
      <w:r w:rsidR="00524BCD" w:rsidRPr="00D13B67">
        <w:t>longest session</w:t>
      </w:r>
      <w:r w:rsidR="002A3EC1" w:rsidRPr="00D13B67">
        <w:t xml:space="preserve"> lasted 95 minutes. The average length of all </w:t>
      </w:r>
      <w:r w:rsidR="00524BCD" w:rsidRPr="00D13B67">
        <w:t>sessions</w:t>
      </w:r>
      <w:r w:rsidR="002A3EC1" w:rsidRPr="00D13B67">
        <w:t xml:space="preserve"> was 73 minutes. The audio recordings of each </w:t>
      </w:r>
      <w:r w:rsidR="00524BCD" w:rsidRPr="00D13B67">
        <w:t>session</w:t>
      </w:r>
      <w:r w:rsidR="00201291" w:rsidRPr="00D13B67">
        <w:t xml:space="preserve"> were transcribed using Microsoft Word’s </w:t>
      </w:r>
      <w:r w:rsidR="00931767" w:rsidRPr="00D13B67">
        <w:t>Transcribe</w:t>
      </w:r>
      <w:r w:rsidR="00201291" w:rsidRPr="00D13B67">
        <w:t xml:space="preserve"> tool</w:t>
      </w:r>
      <w:r w:rsidR="00931767" w:rsidRPr="00D13B67">
        <w:t xml:space="preserve"> and verified by the</w:t>
      </w:r>
      <w:r w:rsidR="00C64BB9">
        <w:t xml:space="preserve"> Graduate</w:t>
      </w:r>
      <w:r w:rsidR="00931767" w:rsidRPr="00D13B67">
        <w:t xml:space="preserve"> Student Researcher. Field notes and artifacts generated during the </w:t>
      </w:r>
      <w:r w:rsidR="00524BCD" w:rsidRPr="00D13B67">
        <w:t>session</w:t>
      </w:r>
      <w:r w:rsidR="00931767" w:rsidRPr="00D13B67">
        <w:t xml:space="preserve"> were scanned and stored on the </w:t>
      </w:r>
      <w:r w:rsidR="00C64BB9">
        <w:t xml:space="preserve">Graduate </w:t>
      </w:r>
      <w:r w:rsidR="00931767" w:rsidRPr="00D13B67">
        <w:t>Student Researcher’s OCADU OneDrive with the originals immediately shredded.</w:t>
      </w:r>
      <w:r w:rsidR="00D92EF0" w:rsidRPr="00D13B67">
        <w:t xml:space="preserve"> The intention of these sessions was to discuss barriers the students encountered</w:t>
      </w:r>
      <w:r w:rsidR="00594F6C" w:rsidRPr="00D13B67">
        <w:t xml:space="preserve"> with digital learning material and co-design a resource </w:t>
      </w:r>
      <w:r w:rsidR="006231AE" w:rsidRPr="00D13B67">
        <w:t>to present the student experience to Langara College employees.</w:t>
      </w:r>
    </w:p>
    <w:p w14:paraId="0C191391" w14:textId="2CEF8BD0" w:rsidR="4713A37B" w:rsidRPr="00D13B67" w:rsidRDefault="00E215EF" w:rsidP="41F5E985">
      <w:pPr>
        <w:pStyle w:val="Heading5"/>
      </w:pPr>
      <w:r w:rsidRPr="00D13B67">
        <w:t xml:space="preserve">Phase 1 </w:t>
      </w:r>
      <w:r w:rsidR="4713A37B" w:rsidRPr="00D13B67">
        <w:t>Instrument</w:t>
      </w:r>
    </w:p>
    <w:p w14:paraId="4D3A0729" w14:textId="39218FD9" w:rsidR="004A76FC" w:rsidRPr="00D13B67" w:rsidRDefault="00074E52" w:rsidP="004C47FC">
      <w:pPr>
        <w:pStyle w:val="Body"/>
      </w:pPr>
      <w:r w:rsidRPr="00D13B67">
        <w:t>The phase 1 semi-structured interviews drew from a pool of questions and activities to spur discussion</w:t>
      </w:r>
      <w:r w:rsidR="004604CC" w:rsidRPr="00D13B67">
        <w:t xml:space="preserve"> (</w:t>
      </w:r>
      <w:hyperlink w:anchor="_Appendix_C:_Student" w:history="1">
        <w:r w:rsidR="00EC67AC" w:rsidRPr="00D13B67">
          <w:rPr>
            <w:rStyle w:val="Hyperlink"/>
          </w:rPr>
          <w:t>Appendix C</w:t>
        </w:r>
      </w:hyperlink>
      <w:r w:rsidR="004604CC" w:rsidRPr="00D13B67">
        <w:t>)</w:t>
      </w:r>
      <w:r w:rsidRPr="00D13B67">
        <w:t xml:space="preserve">. This approach allowed for the conversation to remain </w:t>
      </w:r>
      <w:r w:rsidRPr="00D13B67">
        <w:lastRenderedPageBreak/>
        <w:t xml:space="preserve">centered on the </w:t>
      </w:r>
      <w:r w:rsidR="00616F7E" w:rsidRPr="00D13B67">
        <w:t>student’s</w:t>
      </w:r>
      <w:r w:rsidRPr="00D13B67">
        <w:t xml:space="preserve"> lived experience while </w:t>
      </w:r>
      <w:r w:rsidR="004A76FC" w:rsidRPr="00D13B67">
        <w:t>ensuring some consistency between sessions.</w:t>
      </w:r>
      <w:r w:rsidR="004C47FC" w:rsidRPr="00D13B67">
        <w:t xml:space="preserve"> </w:t>
      </w:r>
      <w:r w:rsidR="003322C2" w:rsidRPr="00D13B67">
        <w:t>As the session</w:t>
      </w:r>
      <w:r w:rsidR="00F81BF4" w:rsidRPr="00D13B67">
        <w:t>s</w:t>
      </w:r>
      <w:r w:rsidR="003322C2" w:rsidRPr="00D13B67">
        <w:t xml:space="preserve"> progressed, obvious themes and related experiences </w:t>
      </w:r>
      <w:r w:rsidR="00F81BF4" w:rsidRPr="00D13B67">
        <w:t>became apparent. This ultimately led to a small sample of saturated data. While each co-designer had their own experience with digital learning material</w:t>
      </w:r>
      <w:r w:rsidR="00A23253" w:rsidRPr="00D13B67">
        <w:t xml:space="preserve"> and encountered unique barriers, the overarching trends revealed consistent</w:t>
      </w:r>
      <w:r w:rsidR="008E0049" w:rsidRPr="00D13B67">
        <w:t xml:space="preserve"> and obvious areas in need of improvement.</w:t>
      </w:r>
    </w:p>
    <w:p w14:paraId="554D35C2" w14:textId="3039CE03" w:rsidR="00D91D5C" w:rsidRPr="00D13B67" w:rsidRDefault="00D91D5C" w:rsidP="00D91D5C">
      <w:pPr>
        <w:pStyle w:val="Body"/>
      </w:pPr>
      <w:r w:rsidRPr="00D13B67">
        <w:t xml:space="preserve">The </w:t>
      </w:r>
      <w:r w:rsidR="00C64BB9">
        <w:t>Graduate S</w:t>
      </w:r>
      <w:r w:rsidRPr="00D13B67">
        <w:t xml:space="preserve">tudent </w:t>
      </w:r>
      <w:r w:rsidR="00C64BB9">
        <w:t>R</w:t>
      </w:r>
      <w:r w:rsidRPr="00D13B67">
        <w:t xml:space="preserve">esearcher’s </w:t>
      </w:r>
      <w:r w:rsidR="00CB7893" w:rsidRPr="00D13B67">
        <w:t>previous interactions</w:t>
      </w:r>
      <w:r w:rsidRPr="00D13B67">
        <w:t xml:space="preserve"> with 4 of 5 </w:t>
      </w:r>
      <w:r w:rsidR="00CD485C" w:rsidRPr="00D13B67">
        <w:t>co-designers</w:t>
      </w:r>
      <w:r w:rsidRPr="00D13B67">
        <w:t xml:space="preserve"> created a safe environment for </w:t>
      </w:r>
      <w:r w:rsidR="00CD485C" w:rsidRPr="00D13B67">
        <w:t>students</w:t>
      </w:r>
      <w:r w:rsidRPr="00D13B67">
        <w:t xml:space="preserve"> to be honest and expressive without fear of retribution or judgement. The </w:t>
      </w:r>
      <w:r w:rsidR="00C64BB9">
        <w:t>Graduate S</w:t>
      </w:r>
      <w:r w:rsidR="00C64BB9" w:rsidRPr="00D13B67">
        <w:t xml:space="preserve">tudent </w:t>
      </w:r>
      <w:r w:rsidR="00C64BB9">
        <w:t>R</w:t>
      </w:r>
      <w:r w:rsidR="00C64BB9" w:rsidRPr="00D13B67">
        <w:t>esearche</w:t>
      </w:r>
      <w:r w:rsidR="00C64BB9">
        <w:t xml:space="preserve">r </w:t>
      </w:r>
      <w:r w:rsidRPr="00D13B67">
        <w:t xml:space="preserve">was careful to remind </w:t>
      </w:r>
      <w:r w:rsidR="00CD485C" w:rsidRPr="00D13B67">
        <w:t>co-designers</w:t>
      </w:r>
      <w:r w:rsidRPr="00D13B67">
        <w:t xml:space="preserve"> that they could remain anonymous if they wished and that the researcher’s dual role (Assistive Technologist at Langara College) had no impact on their academic standing </w:t>
      </w:r>
      <w:r w:rsidR="00E8176C" w:rsidRPr="00D13B67">
        <w:t>or future support</w:t>
      </w:r>
      <w:r w:rsidRPr="00D13B67">
        <w:t xml:space="preserve"> (</w:t>
      </w:r>
      <w:r w:rsidR="00E8176C" w:rsidRPr="00D13B67">
        <w:t>relevant to</w:t>
      </w:r>
      <w:r w:rsidRPr="00D13B67">
        <w:t xml:space="preserve"> the 2 </w:t>
      </w:r>
      <w:r w:rsidR="00CD485C" w:rsidRPr="00D13B67">
        <w:t>co-designers</w:t>
      </w:r>
      <w:r w:rsidRPr="00D13B67">
        <w:t xml:space="preserve"> that were Langara students at the time of the </w:t>
      </w:r>
      <w:r w:rsidR="00E8176C" w:rsidRPr="00D13B67">
        <w:t>session</w:t>
      </w:r>
      <w:r w:rsidRPr="00D13B67">
        <w:t xml:space="preserve">). As the </w:t>
      </w:r>
      <w:r w:rsidR="006D08B8">
        <w:t>Graduate Student R</w:t>
      </w:r>
      <w:r w:rsidRPr="00D13B67">
        <w:t>esearcher had</w:t>
      </w:r>
      <w:r w:rsidR="00E8176C" w:rsidRPr="00D13B67">
        <w:t xml:space="preserve"> previously</w:t>
      </w:r>
      <w:r w:rsidRPr="00D13B67">
        <w:t xml:space="preserve"> aided </w:t>
      </w:r>
      <w:r w:rsidR="00CD485C" w:rsidRPr="00D13B67">
        <w:t>students</w:t>
      </w:r>
      <w:r w:rsidRPr="00D13B67">
        <w:t xml:space="preserve"> with digital learning material, there was a possibility of bias; </w:t>
      </w:r>
      <w:r w:rsidR="00CD485C" w:rsidRPr="00D13B67">
        <w:t>students</w:t>
      </w:r>
      <w:r w:rsidRPr="00D13B67">
        <w:t xml:space="preserve"> were ready and prepared to discuss inaccessible content and barriers they had faced which could exclude positive experiences. However, most </w:t>
      </w:r>
      <w:r w:rsidR="00CD485C" w:rsidRPr="00D13B67">
        <w:t>students</w:t>
      </w:r>
      <w:r w:rsidRPr="00D13B67">
        <w:t xml:space="preserve"> mentioned positive experiences as well. The existing rapport between </w:t>
      </w:r>
      <w:r w:rsidR="00727FCA">
        <w:t>Graduate Student Researcher (as Langara’s Assistive Technologist)</w:t>
      </w:r>
      <w:r w:rsidRPr="00D13B67">
        <w:t xml:space="preserve"> and </w:t>
      </w:r>
      <w:r w:rsidR="00CD485C" w:rsidRPr="00D13B67">
        <w:t>students</w:t>
      </w:r>
      <w:r w:rsidRPr="00D13B67">
        <w:t xml:space="preserve"> likely contributed to the </w:t>
      </w:r>
      <w:r w:rsidR="00CD485C" w:rsidRPr="00D13B67">
        <w:t>students</w:t>
      </w:r>
      <w:r w:rsidRPr="00D13B67">
        <w:t xml:space="preserve"> feeling the researcher was </w:t>
      </w:r>
      <w:r w:rsidR="00E409F7" w:rsidRPr="00D13B67">
        <w:t xml:space="preserve">working for </w:t>
      </w:r>
      <w:r w:rsidRPr="00D13B67">
        <w:t xml:space="preserve">their </w:t>
      </w:r>
      <w:r w:rsidR="00E409F7" w:rsidRPr="00D13B67">
        <w:t>benefit</w:t>
      </w:r>
      <w:r w:rsidRPr="00D13B67">
        <w:t xml:space="preserve">, even if they were to mention something they disliked about Langara College. This trust is emphasized in the findings of the research. </w:t>
      </w:r>
    </w:p>
    <w:p w14:paraId="014CDE85" w14:textId="2E9ADE8E" w:rsidR="3E44A047" w:rsidRPr="00D13B67" w:rsidRDefault="2CC95DD6" w:rsidP="2C53DD6C">
      <w:pPr>
        <w:pStyle w:val="Heading4"/>
      </w:pPr>
      <w:bookmarkStart w:id="36" w:name="_Toc228867991"/>
      <w:r w:rsidRPr="00D13B67">
        <w:t>3.</w:t>
      </w:r>
      <w:r w:rsidR="04EFC762" w:rsidRPr="00D13B67">
        <w:t>3</w:t>
      </w:r>
      <w:r w:rsidRPr="00D13B67">
        <w:t xml:space="preserve">.2 </w:t>
      </w:r>
      <w:r w:rsidR="3E44A047" w:rsidRPr="00D13B67">
        <w:t>Phase 2</w:t>
      </w:r>
      <w:bookmarkEnd w:id="36"/>
    </w:p>
    <w:p w14:paraId="5717B90E" w14:textId="77BD5354" w:rsidR="004C47FC" w:rsidRPr="00D13B67" w:rsidRDefault="00314562" w:rsidP="000C646A">
      <w:pPr>
        <w:pStyle w:val="Body"/>
      </w:pPr>
      <w:r w:rsidRPr="00D13B67">
        <w:t xml:space="preserve">The results of phase 1 were analysed </w:t>
      </w:r>
      <w:r w:rsidR="006B0A73" w:rsidRPr="00D13B67">
        <w:t xml:space="preserve">and coded </w:t>
      </w:r>
      <w:r w:rsidRPr="00D13B67">
        <w:t>(discussed below)</w:t>
      </w:r>
      <w:r w:rsidR="006B0A73" w:rsidRPr="00D13B67">
        <w:t xml:space="preserve"> </w:t>
      </w:r>
      <w:r w:rsidR="00296918" w:rsidRPr="00D13B67">
        <w:t>then published in a</w:t>
      </w:r>
      <w:r w:rsidR="00D26BC5" w:rsidRPr="00D13B67">
        <w:t>n</w:t>
      </w:r>
      <w:r w:rsidR="00296918" w:rsidRPr="00D13B67">
        <w:t xml:space="preserve"> open education resource on </w:t>
      </w:r>
      <w:proofErr w:type="spellStart"/>
      <w:r w:rsidR="00296918" w:rsidRPr="00D13B67">
        <w:t>BCcampus</w:t>
      </w:r>
      <w:proofErr w:type="spellEnd"/>
      <w:r w:rsidR="00296918" w:rsidRPr="00D13B67">
        <w:t xml:space="preserve"> Pressbooks. </w:t>
      </w:r>
      <w:hyperlink r:id="rId9" w:history="1">
        <w:r w:rsidR="00D26BC5" w:rsidRPr="00D13B67">
          <w:rPr>
            <w:rStyle w:val="Hyperlink"/>
            <w:i/>
          </w:rPr>
          <w:t>Lost in Translation: Co-</w:t>
        </w:r>
        <w:r w:rsidR="00D26BC5" w:rsidRPr="00D13B67">
          <w:rPr>
            <w:rStyle w:val="Hyperlink"/>
            <w:i/>
          </w:rPr>
          <w:lastRenderedPageBreak/>
          <w:t>designed Approaches to Implement Digital Accessibility Initiatives</w:t>
        </w:r>
      </w:hyperlink>
      <w:r w:rsidR="00D26BC5" w:rsidRPr="00D13B67">
        <w:t xml:space="preserve"> was then shown to Langara employees</w:t>
      </w:r>
      <w:r w:rsidR="00914352" w:rsidRPr="00D13B67">
        <w:t xml:space="preserve"> at an open house event</w:t>
      </w:r>
      <w:r w:rsidR="00D26BC5" w:rsidRPr="00D13B67">
        <w:t xml:space="preserve"> </w:t>
      </w:r>
      <w:r w:rsidR="00914352" w:rsidRPr="00D13B67">
        <w:t>for review, reflection, and to invite them to complete an anonymous survey.</w:t>
      </w:r>
    </w:p>
    <w:p w14:paraId="7D014923" w14:textId="414F4A0F" w:rsidR="3D9B288B" w:rsidRPr="00D13B67" w:rsidRDefault="00602E23" w:rsidP="6781AE2F">
      <w:pPr>
        <w:pStyle w:val="Heading5"/>
      </w:pPr>
      <w:r w:rsidRPr="00D13B67">
        <w:t xml:space="preserve">Phase </w:t>
      </w:r>
      <w:r w:rsidR="302E2FC5" w:rsidRPr="00D13B67">
        <w:t xml:space="preserve">2 </w:t>
      </w:r>
      <w:r w:rsidR="3D9B288B" w:rsidRPr="00D13B67">
        <w:t>Instrument</w:t>
      </w:r>
    </w:p>
    <w:p w14:paraId="3598B6CE" w14:textId="678646C5" w:rsidR="000C646A" w:rsidRPr="00D13B67" w:rsidRDefault="000C646A" w:rsidP="000D60C3">
      <w:pPr>
        <w:pStyle w:val="Body"/>
      </w:pPr>
      <w:r w:rsidRPr="00D13B67">
        <w:t xml:space="preserve">Langara employees </w:t>
      </w:r>
      <w:r w:rsidR="00F22BF2" w:rsidRPr="00D13B67">
        <w:t>that viewed the co-design resource (</w:t>
      </w:r>
      <w:hyperlink r:id="rId10" w:history="1">
        <w:r w:rsidR="00F22BF2" w:rsidRPr="00D13B67">
          <w:rPr>
            <w:rStyle w:val="Hyperlink"/>
            <w:i/>
          </w:rPr>
          <w:t>Lost in Translation: Co-designed Approaches to Implement Digital Accessibility Initiatives</w:t>
        </w:r>
      </w:hyperlink>
      <w:r w:rsidR="00F22BF2" w:rsidRPr="00D13B67">
        <w:t>) were invited to complete an anonymous survey asking for their thoughts on the resource and how it might impact their intentions</w:t>
      </w:r>
      <w:r w:rsidR="000D60C3" w:rsidRPr="00D13B67">
        <w:t xml:space="preserve"> and praxis regarding accessible digital learning material. </w:t>
      </w:r>
      <w:r w:rsidR="00723170" w:rsidRPr="00D13B67">
        <w:t xml:space="preserve">The survey included </w:t>
      </w:r>
      <w:r w:rsidR="00AE3670" w:rsidRPr="00D13B67">
        <w:t>four Likert scale questions, one multi-select</w:t>
      </w:r>
      <w:r w:rsidR="00F668A5" w:rsidRPr="00D13B67">
        <w:t>, and three optional text fields.</w:t>
      </w:r>
      <w:r w:rsidR="00AE3670" w:rsidRPr="00D13B67">
        <w:t xml:space="preserve"> </w:t>
      </w:r>
      <w:r w:rsidR="000D60C3" w:rsidRPr="00D13B67">
        <w:t xml:space="preserve">Refer to </w:t>
      </w:r>
      <w:hyperlink w:anchor="_Appendix_B:_Employee" w:history="1">
        <w:r w:rsidR="000D60C3" w:rsidRPr="00D13B67">
          <w:rPr>
            <w:rStyle w:val="Hyperlink"/>
          </w:rPr>
          <w:t>Appendix B</w:t>
        </w:r>
      </w:hyperlink>
      <w:r w:rsidR="000D60C3" w:rsidRPr="00D13B67">
        <w:t xml:space="preserve"> for a copy of the survey.</w:t>
      </w:r>
    </w:p>
    <w:p w14:paraId="03A23D5B" w14:textId="57EC29CF" w:rsidR="4F44725A" w:rsidRPr="00D13B67" w:rsidRDefault="235E9CC7" w:rsidP="36910778">
      <w:pPr>
        <w:pStyle w:val="Heading3"/>
      </w:pPr>
      <w:bookmarkStart w:id="37" w:name="_Toc228867992"/>
      <w:r w:rsidRPr="00D13B67">
        <w:t>3.</w:t>
      </w:r>
      <w:r w:rsidR="589EF3FE" w:rsidRPr="00D13B67">
        <w:t>4</w:t>
      </w:r>
      <w:r w:rsidRPr="00D13B67">
        <w:t xml:space="preserve"> </w:t>
      </w:r>
      <w:r w:rsidR="4F44725A" w:rsidRPr="00D13B67">
        <w:t>Data Analysis</w:t>
      </w:r>
      <w:bookmarkEnd w:id="37"/>
    </w:p>
    <w:p w14:paraId="0A9D4D27" w14:textId="1CE5DB4C" w:rsidR="23975D93" w:rsidRPr="00D13B67" w:rsidRDefault="001E79E4" w:rsidP="00EA3698">
      <w:pPr>
        <w:pStyle w:val="Body"/>
      </w:pPr>
      <w:r w:rsidRPr="00D13B67">
        <w:t>Phase 1 semi-structured</w:t>
      </w:r>
      <w:r w:rsidR="006A429C" w:rsidRPr="00D13B67">
        <w:t xml:space="preserve"> interviews were analysed using an inductive thematic analysis.</w:t>
      </w:r>
      <w:r w:rsidR="00253172" w:rsidRPr="00D13B67">
        <w:t xml:space="preserve"> Phase 2 survey</w:t>
      </w:r>
      <w:r w:rsidR="00765F79" w:rsidRPr="00D13B67">
        <w:t xml:space="preserve"> Likert scale questions and text response questions </w:t>
      </w:r>
      <w:r w:rsidR="0040586A" w:rsidRPr="00D13B67">
        <w:t>were analysed using basic statistical analysis and thematic coding.</w:t>
      </w:r>
    </w:p>
    <w:p w14:paraId="4FA5768E" w14:textId="77679E30" w:rsidR="6A59F148" w:rsidRPr="00D13B67" w:rsidRDefault="01379650" w:rsidP="23975D93">
      <w:pPr>
        <w:pStyle w:val="Heading4"/>
      </w:pPr>
      <w:bookmarkStart w:id="38" w:name="_Toc228867993"/>
      <w:r w:rsidRPr="00D13B67">
        <w:t>3.</w:t>
      </w:r>
      <w:r w:rsidR="76159052" w:rsidRPr="00D13B67">
        <w:t>4</w:t>
      </w:r>
      <w:r w:rsidRPr="00D13B67">
        <w:t xml:space="preserve">.1 </w:t>
      </w:r>
      <w:r w:rsidR="6A59F148" w:rsidRPr="00D13B67">
        <w:t>Phase 1</w:t>
      </w:r>
      <w:bookmarkEnd w:id="38"/>
    </w:p>
    <w:p w14:paraId="4E8499F2" w14:textId="51718BFF" w:rsidR="00EE25CE" w:rsidRPr="00D13B67" w:rsidRDefault="0039099E" w:rsidP="00657828">
      <w:pPr>
        <w:pStyle w:val="Body"/>
      </w:pPr>
      <w:r w:rsidRPr="00D13B67">
        <w:t xml:space="preserve">According to Braun &amp; Clarke’s </w:t>
      </w:r>
      <w:r w:rsidR="0086124D" w:rsidRPr="00D13B67">
        <w:rPr>
          <w:i/>
          <w:iCs/>
        </w:rPr>
        <w:t xml:space="preserve">Using Thematic Analysis in Psychology </w:t>
      </w:r>
      <w:r w:rsidR="0086124D" w:rsidRPr="00D13B67">
        <w:t>(2006)</w:t>
      </w:r>
      <w:r w:rsidR="00761A33" w:rsidRPr="00D13B67">
        <w:t>,</w:t>
      </w:r>
      <w:r w:rsidR="00152B49" w:rsidRPr="00D13B67">
        <w:t xml:space="preserve"> </w:t>
      </w:r>
      <w:r w:rsidR="00761A33" w:rsidRPr="00D13B67">
        <w:t>t</w:t>
      </w:r>
      <w:r w:rsidR="00D22A26" w:rsidRPr="00D13B67">
        <w:t xml:space="preserve">hematic analysis </w:t>
      </w:r>
      <w:r w:rsidR="00702E83" w:rsidRPr="00D13B67">
        <w:t>is a foundational method for qualitative research</w:t>
      </w:r>
      <w:r w:rsidR="00702E83" w:rsidRPr="00D13B67">
        <w:rPr>
          <w:rStyle w:val="citation-item"/>
        </w:rPr>
        <w:t xml:space="preserve">. Thematic analysis </w:t>
      </w:r>
      <w:r w:rsidR="00152B49" w:rsidRPr="00D13B67">
        <w:rPr>
          <w:rStyle w:val="citation-item"/>
        </w:rPr>
        <w:t>offers</w:t>
      </w:r>
      <w:r w:rsidR="00702E83" w:rsidRPr="00D13B67">
        <w:rPr>
          <w:rStyle w:val="citation-item"/>
        </w:rPr>
        <w:t xml:space="preserve"> researchers a consistent, repeatable method for identifying, analysing, and reporting patterns in data</w:t>
      </w:r>
      <w:r w:rsidR="00B93FE7" w:rsidRPr="00D13B67">
        <w:rPr>
          <w:rStyle w:val="citation-item"/>
        </w:rPr>
        <w:t xml:space="preserve">. </w:t>
      </w:r>
      <w:r w:rsidR="00FF4A1E" w:rsidRPr="00D13B67">
        <w:rPr>
          <w:rStyle w:val="citation-item"/>
        </w:rPr>
        <w:t xml:space="preserve">Using themes </w:t>
      </w:r>
      <w:r w:rsidR="00AA1EA0" w:rsidRPr="00D13B67">
        <w:rPr>
          <w:rStyle w:val="citation-item"/>
        </w:rPr>
        <w:t xml:space="preserve">allows complicated data from qualitative research to be </w:t>
      </w:r>
      <w:r w:rsidR="0081490F" w:rsidRPr="00D13B67">
        <w:rPr>
          <w:rStyle w:val="citation-item"/>
        </w:rPr>
        <w:t xml:space="preserve">made available to a wider audience (Braun &amp; Clarke, 2012). </w:t>
      </w:r>
      <w:r w:rsidR="00FF4A1E" w:rsidRPr="00D13B67">
        <w:rPr>
          <w:rStyle w:val="citation-item"/>
        </w:rPr>
        <w:t>The use of themes that</w:t>
      </w:r>
      <w:r w:rsidR="009E5DF2" w:rsidRPr="00D13B67">
        <w:rPr>
          <w:rStyle w:val="citation-item"/>
        </w:rPr>
        <w:t xml:space="preserve"> “resonate</w:t>
      </w:r>
      <w:r w:rsidR="00275A5F" w:rsidRPr="00D13B67">
        <w:rPr>
          <w:rStyle w:val="citation-item"/>
        </w:rPr>
        <w:t xml:space="preserve"> with the data, with the participants, with the ongoing too muchness of research” </w:t>
      </w:r>
      <w:r w:rsidR="00987991" w:rsidRPr="00D13B67">
        <w:rPr>
          <w:rStyle w:val="citation-item"/>
        </w:rPr>
        <w:t>through thematic analysis creates a much stronger</w:t>
      </w:r>
      <w:r w:rsidR="002631A5" w:rsidRPr="00D13B67">
        <w:rPr>
          <w:rStyle w:val="citation-item"/>
        </w:rPr>
        <w:t xml:space="preserve"> and more effective report (Cannon &amp; </w:t>
      </w:r>
      <w:proofErr w:type="spellStart"/>
      <w:r w:rsidR="002631A5" w:rsidRPr="00D13B67">
        <w:rPr>
          <w:rStyle w:val="citation-item"/>
        </w:rPr>
        <w:lastRenderedPageBreak/>
        <w:t>Edber</w:t>
      </w:r>
      <w:proofErr w:type="spellEnd"/>
      <w:r w:rsidR="002631A5" w:rsidRPr="00D13B67">
        <w:rPr>
          <w:rStyle w:val="citation-item"/>
        </w:rPr>
        <w:t>, 2025)</w:t>
      </w:r>
      <w:r w:rsidR="004C36E9" w:rsidRPr="00D13B67">
        <w:rPr>
          <w:rStyle w:val="citation-item"/>
        </w:rPr>
        <w:t xml:space="preserve">. </w:t>
      </w:r>
      <w:r w:rsidR="00D678F6" w:rsidRPr="00D13B67">
        <w:rPr>
          <w:rStyle w:val="citation-item"/>
        </w:rPr>
        <w:t xml:space="preserve">Resonance developed in this way </w:t>
      </w:r>
      <w:r w:rsidR="00BC6228" w:rsidRPr="00D13B67">
        <w:rPr>
          <w:rStyle w:val="citation-item"/>
        </w:rPr>
        <w:t>promotes “</w:t>
      </w:r>
      <w:r w:rsidR="00EE25CE" w:rsidRPr="00D13B67">
        <w:rPr>
          <w:rStyle w:val="highlight"/>
        </w:rPr>
        <w:t>empathy, identification, and reverberation of the research by readers who have no direct experience with the topic discussed … to transform the emotional dispositions of people and promote regard” (</w:t>
      </w:r>
      <w:r w:rsidR="00BC6228" w:rsidRPr="00D13B67">
        <w:rPr>
          <w:rStyle w:val="highlight"/>
        </w:rPr>
        <w:t xml:space="preserve">Tracy, 2010, </w:t>
      </w:r>
      <w:r w:rsidR="00EE25CE" w:rsidRPr="00D13B67">
        <w:rPr>
          <w:rStyle w:val="highlight"/>
        </w:rPr>
        <w:t>p. 844).</w:t>
      </w:r>
      <w:r w:rsidR="00E64F05" w:rsidRPr="00D13B67">
        <w:rPr>
          <w:rStyle w:val="highlight"/>
        </w:rPr>
        <w:t xml:space="preserve"> </w:t>
      </w:r>
      <w:r w:rsidR="009824DE" w:rsidRPr="00D13B67">
        <w:rPr>
          <w:rStyle w:val="highlight"/>
        </w:rPr>
        <w:t>P</w:t>
      </w:r>
      <w:r w:rsidR="00E64F05" w:rsidRPr="00D13B67">
        <w:rPr>
          <w:rStyle w:val="highlight"/>
        </w:rPr>
        <w:t xml:space="preserve">resenting student experiences with digital learning material was </w:t>
      </w:r>
      <w:r w:rsidR="009824DE" w:rsidRPr="00D13B67">
        <w:rPr>
          <w:rStyle w:val="highlight"/>
        </w:rPr>
        <w:t>designed</w:t>
      </w:r>
      <w:r w:rsidR="00E64F05" w:rsidRPr="00D13B67">
        <w:rPr>
          <w:rStyle w:val="highlight"/>
        </w:rPr>
        <w:t xml:space="preserve"> to engage the empathy of post-secondary employees, making thematic analysis </w:t>
      </w:r>
      <w:r w:rsidR="00657828" w:rsidRPr="00D13B67">
        <w:rPr>
          <w:rStyle w:val="highlight"/>
        </w:rPr>
        <w:t>employed as Tracy described an ideal method for this research.</w:t>
      </w:r>
    </w:p>
    <w:p w14:paraId="2643F3AB" w14:textId="4688E60D" w:rsidR="006B3F11" w:rsidRPr="00D13B67" w:rsidRDefault="00210BBC" w:rsidP="002C7A37">
      <w:pPr>
        <w:pStyle w:val="Body"/>
      </w:pPr>
      <w:r w:rsidRPr="00D13B67">
        <w:t xml:space="preserve">The analysis of the student co-design sessions followed Braun &amp; Clarke’s inductive thematic coding (2006). This </w:t>
      </w:r>
      <w:r w:rsidR="00E82653" w:rsidRPr="00D13B67">
        <w:t>bottom-up</w:t>
      </w:r>
      <w:r w:rsidRPr="00D13B67">
        <w:t xml:space="preserve"> approach ensures themes arise from the data themselves</w:t>
      </w:r>
      <w:r w:rsidR="00767824" w:rsidRPr="00D13B67">
        <w:t xml:space="preserve"> as opposed to </w:t>
      </w:r>
      <w:r w:rsidR="002C7A37" w:rsidRPr="00D13B67">
        <w:t>using</w:t>
      </w:r>
      <w:r w:rsidR="00767824" w:rsidRPr="00D13B67">
        <w:t xml:space="preserve"> the data</w:t>
      </w:r>
      <w:r w:rsidR="002C7A37" w:rsidRPr="00D13B67">
        <w:t xml:space="preserve"> to validate</w:t>
      </w:r>
      <w:r w:rsidR="00767824" w:rsidRPr="00D13B67">
        <w:t xml:space="preserve"> </w:t>
      </w:r>
      <w:r w:rsidR="004B34DA" w:rsidRPr="00D13B67">
        <w:t>preconceived ideas</w:t>
      </w:r>
      <w:r w:rsidR="00767824" w:rsidRPr="00D13B67">
        <w:t xml:space="preserve">. This approach is particularly important </w:t>
      </w:r>
      <w:r w:rsidR="0004491A" w:rsidRPr="00D13B67">
        <w:t xml:space="preserve">for research without a significant amount of existing literature to </w:t>
      </w:r>
      <w:r w:rsidR="002C7A37" w:rsidRPr="00D13B67">
        <w:t>test</w:t>
      </w:r>
      <w:r w:rsidR="0004491A" w:rsidRPr="00D13B67">
        <w:t xml:space="preserve"> against. Inductive thematic coding ensures the themes presented to readers are driven by what is in the data (Braun &amp; Clarke, 2012).</w:t>
      </w:r>
      <w:r w:rsidR="006B3F11" w:rsidRPr="00D13B67">
        <w:t xml:space="preserve"> </w:t>
      </w:r>
      <w:r w:rsidR="00A927B0" w:rsidRPr="00D13B67">
        <w:t xml:space="preserve">Identifying patterns in the students’ experience with digital learning material in a systematic and deliberate manner ensures a clear and digestible report for readers while honouring the </w:t>
      </w:r>
      <w:proofErr w:type="gramStart"/>
      <w:r w:rsidR="00A927B0" w:rsidRPr="00D13B67">
        <w:t>students’</w:t>
      </w:r>
      <w:proofErr w:type="gramEnd"/>
      <w:r w:rsidR="00A927B0" w:rsidRPr="00D13B67">
        <w:t xml:space="preserve"> lived experience.</w:t>
      </w:r>
      <w:r w:rsidR="002D47EC" w:rsidRPr="00D13B67">
        <w:t xml:space="preserve"> </w:t>
      </w:r>
    </w:p>
    <w:p w14:paraId="37557425" w14:textId="7CF95D5C" w:rsidR="00953D19" w:rsidRPr="00D13B67" w:rsidRDefault="002C7A37" w:rsidP="007A74C2">
      <w:pPr>
        <w:pStyle w:val="Body"/>
      </w:pPr>
      <w:r w:rsidRPr="00D13B67">
        <w:t xml:space="preserve">To analyze the data, </w:t>
      </w:r>
      <w:r w:rsidR="00E82653" w:rsidRPr="00D13B67">
        <w:t>Braun &amp; Clarke’s 15-point checklist for good thematic analysis</w:t>
      </w:r>
      <w:r w:rsidRPr="00D13B67">
        <w:t xml:space="preserve"> was </w:t>
      </w:r>
      <w:r w:rsidR="004B34DA" w:rsidRPr="00D13B67">
        <w:t>employed</w:t>
      </w:r>
      <w:r w:rsidR="00E82653" w:rsidRPr="00D13B67">
        <w:t xml:space="preserve"> (2006, p. 96). The first step was</w:t>
      </w:r>
      <w:r w:rsidR="00B15B57" w:rsidRPr="00D13B67">
        <w:t xml:space="preserve"> </w:t>
      </w:r>
      <w:r w:rsidR="00953D19" w:rsidRPr="00D13B67">
        <w:t xml:space="preserve">transcription. In-person sessions were </w:t>
      </w:r>
      <w:r w:rsidR="00FC0A40" w:rsidRPr="00D13B67">
        <w:t xml:space="preserve">digitally </w:t>
      </w:r>
      <w:r w:rsidR="00953D19" w:rsidRPr="00D13B67">
        <w:t>recorded and transcribed</w:t>
      </w:r>
      <w:r w:rsidR="00FC0A40" w:rsidRPr="00D13B67">
        <w:t xml:space="preserve"> using Microsoft Word’s Transcribe tool within OCADU’s O365 </w:t>
      </w:r>
      <w:r w:rsidRPr="00D13B67">
        <w:t xml:space="preserve">cloud </w:t>
      </w:r>
      <w:r w:rsidR="00FC0A40" w:rsidRPr="00D13B67">
        <w:t xml:space="preserve">environment. </w:t>
      </w:r>
      <w:r w:rsidR="00911222" w:rsidRPr="00D13B67">
        <w:t xml:space="preserve">Remote sessions were hosted on Zoom. The </w:t>
      </w:r>
      <w:r w:rsidRPr="00D13B67">
        <w:t xml:space="preserve">Zoom </w:t>
      </w:r>
      <w:r w:rsidR="00911222" w:rsidRPr="00D13B67">
        <w:t xml:space="preserve">meetings were recorded with the audio separated from the video (which was securely deleted) and transcribed in the same manner as the in-person recordings. </w:t>
      </w:r>
      <w:r w:rsidR="00020CD5" w:rsidRPr="00D13B67">
        <w:t xml:space="preserve">Transcripts were </w:t>
      </w:r>
      <w:r w:rsidR="004B34DA" w:rsidRPr="00D13B67">
        <w:t>read</w:t>
      </w:r>
      <w:r w:rsidR="00020CD5" w:rsidRPr="00D13B67">
        <w:t xml:space="preserve"> and </w:t>
      </w:r>
      <w:r w:rsidR="004B34DA" w:rsidRPr="00D13B67">
        <w:t>verified</w:t>
      </w:r>
      <w:r w:rsidR="00020CD5" w:rsidRPr="00D13B67">
        <w:t xml:space="preserve"> against the digital recordings. </w:t>
      </w:r>
      <w:r w:rsidR="00911222" w:rsidRPr="00D13B67">
        <w:t xml:space="preserve">Through validating the transcription, and in review of </w:t>
      </w:r>
      <w:r w:rsidR="00911222" w:rsidRPr="00D13B67">
        <w:lastRenderedPageBreak/>
        <w:t>field notes</w:t>
      </w:r>
      <w:r w:rsidR="007A74C2" w:rsidRPr="00D13B67">
        <w:t xml:space="preserve"> and artifacts</w:t>
      </w:r>
      <w:r w:rsidR="00911222" w:rsidRPr="00D13B67">
        <w:t xml:space="preserve">, the </w:t>
      </w:r>
      <w:r w:rsidR="00C64BB9">
        <w:t>Graduate S</w:t>
      </w:r>
      <w:r w:rsidR="00C64BB9" w:rsidRPr="00D13B67">
        <w:t xml:space="preserve">tudent </w:t>
      </w:r>
      <w:r w:rsidR="00C64BB9">
        <w:t>R</w:t>
      </w:r>
      <w:r w:rsidR="00C64BB9" w:rsidRPr="00D13B67">
        <w:t>esearche</w:t>
      </w:r>
      <w:r w:rsidR="00C64BB9">
        <w:t xml:space="preserve">r </w:t>
      </w:r>
      <w:r w:rsidR="00911222" w:rsidRPr="00D13B67">
        <w:t>became familiar with the general ideas and key points in conversation</w:t>
      </w:r>
      <w:r w:rsidR="00C9082B" w:rsidRPr="00D13B67">
        <w:t xml:space="preserve"> </w:t>
      </w:r>
      <w:r w:rsidR="00B96AA2" w:rsidRPr="00D13B67">
        <w:t>revealing</w:t>
      </w:r>
      <w:r w:rsidR="00C9082B" w:rsidRPr="00D13B67">
        <w:t xml:space="preserve"> patterns</w:t>
      </w:r>
      <w:r w:rsidR="00910A5F" w:rsidRPr="00D13B67">
        <w:t xml:space="preserve"> and </w:t>
      </w:r>
      <w:r w:rsidR="00D24C6D" w:rsidRPr="00D13B67">
        <w:t xml:space="preserve">repeated </w:t>
      </w:r>
      <w:r w:rsidR="00910A5F" w:rsidRPr="00D13B67">
        <w:t>concepts</w:t>
      </w:r>
      <w:r w:rsidR="00911222" w:rsidRPr="00D13B67">
        <w:t>.</w:t>
      </w:r>
    </w:p>
    <w:p w14:paraId="19C217EE" w14:textId="5EA40F6E" w:rsidR="53F26D1D" w:rsidRPr="00D13B67" w:rsidRDefault="00D24C6D" w:rsidP="00380C43">
      <w:pPr>
        <w:pStyle w:val="Body"/>
      </w:pPr>
      <w:r w:rsidRPr="00D13B67">
        <w:t>During the verification, reading and rereading i</w:t>
      </w:r>
      <w:r w:rsidR="00E82653" w:rsidRPr="00D13B67">
        <w:t>nitial codes were developed</w:t>
      </w:r>
      <w:r w:rsidR="00B15B57" w:rsidRPr="00D13B67">
        <w:t xml:space="preserve">. </w:t>
      </w:r>
      <w:r w:rsidR="53F26D1D" w:rsidRPr="00D13B67">
        <w:t>Data was coded with</w:t>
      </w:r>
      <w:r w:rsidR="000F445E" w:rsidRPr="00D13B67">
        <w:t>in</w:t>
      </w:r>
      <w:r w:rsidR="53F26D1D" w:rsidRPr="00D13B67">
        <w:t xml:space="preserve"> 72 hours of each interview. </w:t>
      </w:r>
      <w:r w:rsidR="625F5E48" w:rsidRPr="00D13B67">
        <w:t>I</w:t>
      </w:r>
      <w:r w:rsidR="53F26D1D" w:rsidRPr="00D13B67">
        <w:t xml:space="preserve">nitial themes were noted, but no themes were </w:t>
      </w:r>
      <w:r w:rsidR="000F445E" w:rsidRPr="00D13B67">
        <w:t>formalized</w:t>
      </w:r>
      <w:r w:rsidR="53F26D1D" w:rsidRPr="00D13B67">
        <w:t xml:space="preserve"> until all interviews w</w:t>
      </w:r>
      <w:r w:rsidR="2C3636C5" w:rsidRPr="00D13B67">
        <w:t>ere completed.</w:t>
      </w:r>
      <w:r w:rsidR="00877812" w:rsidRPr="00D13B67">
        <w:t xml:space="preserve"> </w:t>
      </w:r>
      <w:r w:rsidR="00910A5F" w:rsidRPr="00D13B67">
        <w:t xml:space="preserve">Codes were developed inductively and iteratively, tweaking and refining codes for uniform </w:t>
      </w:r>
      <w:r w:rsidR="008B1628" w:rsidRPr="00D13B67">
        <w:t>language and reducing synonyms through merging of similar codes.</w:t>
      </w:r>
      <w:r w:rsidR="00910A5F" w:rsidRPr="00D13B67">
        <w:t xml:space="preserve"> </w:t>
      </w:r>
      <w:r w:rsidR="00877812" w:rsidRPr="00D13B67">
        <w:t xml:space="preserve">Within </w:t>
      </w:r>
      <w:r w:rsidR="00150958" w:rsidRPr="00D13B67">
        <w:t>each</w:t>
      </w:r>
      <w:r w:rsidR="00877812" w:rsidRPr="00D13B67">
        <w:t xml:space="preserve"> transcript each code was tagged with a comment. Then, each code was copied to a heading</w:t>
      </w:r>
      <w:r w:rsidR="00A10A4C" w:rsidRPr="00D13B67">
        <w:t xml:space="preserve"> of the same name. This allowed a grouping of similarly coded sections of each transcript. </w:t>
      </w:r>
      <w:r w:rsidR="00FA75E9" w:rsidRPr="00D13B67">
        <w:t>Codes were checked against session transcripts</w:t>
      </w:r>
      <w:r w:rsidR="00B96AA2" w:rsidRPr="00D13B67">
        <w:t xml:space="preserve"> then </w:t>
      </w:r>
      <w:r w:rsidR="008B1628" w:rsidRPr="00D13B67">
        <w:t>collated with excerpts, artifacts, and notes to ensure a strong link between the data and codes.</w:t>
      </w:r>
      <w:r w:rsidR="00FF3FDF" w:rsidRPr="00D13B67">
        <w:t xml:space="preserve"> Once all session transcripts were coded</w:t>
      </w:r>
      <w:r w:rsidR="005811D9" w:rsidRPr="00D13B67">
        <w:t>,</w:t>
      </w:r>
      <w:r w:rsidR="00FF3FDF" w:rsidRPr="00D13B67">
        <w:t xml:space="preserve"> </w:t>
      </w:r>
      <w:r w:rsidR="00F10989" w:rsidRPr="00D13B67">
        <w:t xml:space="preserve">themes were developed. </w:t>
      </w:r>
    </w:p>
    <w:p w14:paraId="181A4F0F" w14:textId="0EAFD0B1" w:rsidR="00A21E9E" w:rsidRPr="00D13B67" w:rsidRDefault="008B1628" w:rsidP="00600A0A">
      <w:pPr>
        <w:pStyle w:val="Body"/>
      </w:pPr>
      <w:r w:rsidRPr="00D13B67">
        <w:t xml:space="preserve">Codes were grouped into broad topics to organize coded data with similar evidence. As with coding the data, this process began to reveal patterns which formed the basis for themes. </w:t>
      </w:r>
      <w:r w:rsidR="00C2522A" w:rsidRPr="00D13B67">
        <w:t>This process was done on an Excel spreadsheet (</w:t>
      </w:r>
      <w:hyperlink w:anchor="_Appendix_D:_Codebook" w:history="1">
        <w:r w:rsidR="00EC67AC" w:rsidRPr="00D13B67">
          <w:rPr>
            <w:rStyle w:val="Hyperlink"/>
          </w:rPr>
          <w:t>Appendix D</w:t>
        </w:r>
      </w:hyperlink>
      <w:r w:rsidR="00C2522A" w:rsidRPr="00D13B67">
        <w:t xml:space="preserve">). </w:t>
      </w:r>
      <w:r w:rsidR="00E00753" w:rsidRPr="00D13B67">
        <w:t>Potential themes were then checked against one another, the individual codes first identified, and the entire set of codes for consistency, relevancy, and c</w:t>
      </w:r>
      <w:r w:rsidR="00B15468" w:rsidRPr="00D13B67">
        <w:t>oherence.</w:t>
      </w:r>
      <w:r w:rsidR="00762299" w:rsidRPr="00D13B67">
        <w:t xml:space="preserve"> Themes were refined, revised, and merged to ensure relevance and discretion. </w:t>
      </w:r>
      <w:r w:rsidR="00A21E9E" w:rsidRPr="00D13B67">
        <w:t xml:space="preserve">For example, the code ‘time’ became an obvious theme as all </w:t>
      </w:r>
      <w:r w:rsidR="00CD485C" w:rsidRPr="00D13B67">
        <w:t>students</w:t>
      </w:r>
      <w:r w:rsidR="00A21E9E" w:rsidRPr="00D13B67">
        <w:t xml:space="preserve"> mentioned the significant amount of extra </w:t>
      </w:r>
      <w:r w:rsidR="0091548E" w:rsidRPr="00D13B67">
        <w:t>time,</w:t>
      </w:r>
      <w:r w:rsidR="00A21E9E" w:rsidRPr="00D13B67">
        <w:t xml:space="preserve"> they needed to complete tasks. However, some content initially coded as ‘barriers to learning’ or ‘negative experience’ were explicitly about time costs and were re-coded to </w:t>
      </w:r>
      <w:r w:rsidR="00600A0A" w:rsidRPr="00D13B67">
        <w:t>that</w:t>
      </w:r>
      <w:r w:rsidR="00A21E9E" w:rsidRPr="00D13B67">
        <w:t xml:space="preserve"> theme.</w:t>
      </w:r>
      <w:r w:rsidR="00E64F05" w:rsidRPr="00D13B67">
        <w:t xml:space="preserve"> </w:t>
      </w:r>
      <w:r w:rsidR="00AD6031" w:rsidRPr="00D13B67">
        <w:t xml:space="preserve">The first session occurred on August 20, 2025, and the last session occurring </w:t>
      </w:r>
      <w:r w:rsidR="00AD6031" w:rsidRPr="00D13B67">
        <w:lastRenderedPageBreak/>
        <w:t>on September 4, 2025. Data was coded and themes were developed by September 30, 2025.</w:t>
      </w:r>
    </w:p>
    <w:p w14:paraId="2BCA724A" w14:textId="27AB2FE1" w:rsidR="005811D9" w:rsidRPr="00D13B67" w:rsidRDefault="00762299" w:rsidP="00953A16">
      <w:pPr>
        <w:pStyle w:val="Body"/>
      </w:pPr>
      <w:r w:rsidRPr="00D13B67">
        <w:t xml:space="preserve">Inductive, data-driven, and iterative coding ensured themes were reflective of the </w:t>
      </w:r>
      <w:r w:rsidR="00CD485C" w:rsidRPr="00D13B67">
        <w:t>students’</w:t>
      </w:r>
      <w:r w:rsidRPr="00D13B67">
        <w:t xml:space="preserve"> responses and did not allow researcher biases to influence the data analysis</w:t>
      </w:r>
      <w:r w:rsidR="00A21E9E" w:rsidRPr="00D13B67">
        <w:t xml:space="preserve">. </w:t>
      </w:r>
      <w:r w:rsidR="00B15468" w:rsidRPr="00D13B67">
        <w:t>Of particular importance was identifying themes that respected the co-designers</w:t>
      </w:r>
      <w:r w:rsidR="00A21E9E" w:rsidRPr="00D13B67">
        <w:t>’</w:t>
      </w:r>
      <w:r w:rsidR="00B15468" w:rsidRPr="00D13B67">
        <w:t xml:space="preserve"> intent</w:t>
      </w:r>
      <w:r w:rsidR="00D028A4" w:rsidRPr="00D13B67">
        <w:t xml:space="preserve"> </w:t>
      </w:r>
      <w:r w:rsidR="00A21E9E" w:rsidRPr="00D13B67">
        <w:t xml:space="preserve">and reflected their specific input </w:t>
      </w:r>
      <w:r w:rsidR="00D028A4" w:rsidRPr="00D13B67">
        <w:t>while ensuring the themes would be meaningful to readers</w:t>
      </w:r>
      <w:r w:rsidR="00256400" w:rsidRPr="00D13B67">
        <w:t xml:space="preserve"> as well as rel</w:t>
      </w:r>
      <w:r w:rsidR="008A12B9" w:rsidRPr="00D13B67">
        <w:t>evant to the topic and research question being explored (Braun &amp; Clarke, 2012)</w:t>
      </w:r>
      <w:r w:rsidR="00D028A4" w:rsidRPr="00D13B67">
        <w:t>.</w:t>
      </w:r>
      <w:r w:rsidR="00BF02D7" w:rsidRPr="00D13B67">
        <w:t xml:space="preserve"> Given the researcher</w:t>
      </w:r>
      <w:r w:rsidR="00CD366C" w:rsidRPr="00D13B67">
        <w:t>’</w:t>
      </w:r>
      <w:r w:rsidR="00BF02D7" w:rsidRPr="00D13B67">
        <w:t xml:space="preserve">s dual role and pre-existing relationship with co-designers, bracketing was employed to “suspend </w:t>
      </w:r>
      <w:r w:rsidR="00FF4A1E" w:rsidRPr="00D13B67">
        <w:rPr>
          <w:rStyle w:val="highlight"/>
        </w:rPr>
        <w:t xml:space="preserve">… </w:t>
      </w:r>
      <w:r w:rsidR="00BF02D7" w:rsidRPr="00D13B67">
        <w:t xml:space="preserve">researcher biases </w:t>
      </w:r>
      <w:r w:rsidR="00FF4A1E" w:rsidRPr="00D13B67">
        <w:rPr>
          <w:rStyle w:val="highlight"/>
        </w:rPr>
        <w:t>…</w:t>
      </w:r>
      <w:r w:rsidR="00FF4A1E" w:rsidRPr="00D13B67">
        <w:t xml:space="preserve"> </w:t>
      </w:r>
      <w:r w:rsidR="00BF02D7" w:rsidRPr="00D13B67">
        <w:t>[and] reflect on the social, cultural, and historical forces that shape their interpretation</w:t>
      </w:r>
      <w:r w:rsidR="00EF5939" w:rsidRPr="00D13B67">
        <w:t>” (Creswell &amp; Miller, 2000</w:t>
      </w:r>
      <w:r w:rsidR="007F228E" w:rsidRPr="00D13B67">
        <w:t>, p. 127</w:t>
      </w:r>
      <w:r w:rsidR="00EF5939" w:rsidRPr="00D13B67">
        <w:t>).</w:t>
      </w:r>
      <w:r w:rsidR="00216850" w:rsidRPr="00D13B67">
        <w:t xml:space="preserve"> </w:t>
      </w:r>
      <w:r w:rsidR="00261574" w:rsidRPr="00D13B67">
        <w:t xml:space="preserve">Bracketing is a process in which researchers consider their values and assumptions </w:t>
      </w:r>
      <w:r w:rsidR="00B216EE" w:rsidRPr="00D13B67">
        <w:t xml:space="preserve">and attempt to put them aside, in brackets, while conducting research (Draper, 2004). </w:t>
      </w:r>
      <w:r w:rsidR="00216850" w:rsidRPr="00D13B67">
        <w:t xml:space="preserve">In </w:t>
      </w:r>
      <w:r w:rsidR="00261574" w:rsidRPr="00D13B67">
        <w:t xml:space="preserve">the </w:t>
      </w:r>
      <w:r w:rsidR="00216850" w:rsidRPr="00D13B67">
        <w:t xml:space="preserve">data analysis, bracketing helps to exclude personal bias to ensure co-designers’ experiences were considered impartially with maximum accuracy of </w:t>
      </w:r>
      <w:r w:rsidR="00BC5C5F" w:rsidRPr="00D13B67">
        <w:t>each</w:t>
      </w:r>
      <w:r w:rsidR="00216850" w:rsidRPr="00D13B67">
        <w:t xml:space="preserve"> co-designer’s intent, not the researcher’s </w:t>
      </w:r>
      <w:r w:rsidR="00261574" w:rsidRPr="00D13B67">
        <w:t>preconceptions.</w:t>
      </w:r>
    </w:p>
    <w:p w14:paraId="255483B9" w14:textId="70A14224" w:rsidR="23975D93" w:rsidRPr="00D13B67" w:rsidRDefault="6049A20A" w:rsidP="00282E20">
      <w:pPr>
        <w:pStyle w:val="Body"/>
      </w:pPr>
      <w:r w:rsidRPr="00D13B67">
        <w:t xml:space="preserve">Once the resource for phase 2 was developed, </w:t>
      </w:r>
      <w:r w:rsidR="00D91D5C" w:rsidRPr="00D13B67">
        <w:t>co-designers</w:t>
      </w:r>
      <w:r w:rsidRPr="00D13B67">
        <w:t xml:space="preserve"> were contacted for feedback. </w:t>
      </w:r>
      <w:r w:rsidR="00D91D5C" w:rsidRPr="00D13B67">
        <w:t>Co-designers</w:t>
      </w:r>
      <w:r w:rsidRPr="00D13B67">
        <w:t xml:space="preserve"> were contacted via email </w:t>
      </w:r>
      <w:r w:rsidR="008D5E86" w:rsidRPr="00D13B67">
        <w:t>between six and seven</w:t>
      </w:r>
      <w:r w:rsidRPr="00D13B67">
        <w:t xml:space="preserve"> weeks after their </w:t>
      </w:r>
      <w:r w:rsidR="008D5E86" w:rsidRPr="00D13B67">
        <w:t>session</w:t>
      </w:r>
      <w:r w:rsidRPr="00D13B67">
        <w:t xml:space="preserve">. </w:t>
      </w:r>
      <w:r w:rsidR="712AC4BD" w:rsidRPr="00D13B67">
        <w:t xml:space="preserve">All </w:t>
      </w:r>
      <w:r w:rsidR="008D5E86" w:rsidRPr="00D13B67">
        <w:t>co-designers</w:t>
      </w:r>
      <w:r w:rsidR="712AC4BD" w:rsidRPr="00D13B67">
        <w:t xml:space="preserve"> responded</w:t>
      </w:r>
      <w:r w:rsidR="008D5E86" w:rsidRPr="00D13B67">
        <w:t>, some</w:t>
      </w:r>
      <w:r w:rsidR="456A7396" w:rsidRPr="00D13B67">
        <w:t xml:space="preserve"> only affirmed their participation while </w:t>
      </w:r>
      <w:r w:rsidR="008D5E86" w:rsidRPr="00D13B67">
        <w:t>two</w:t>
      </w:r>
      <w:r w:rsidR="357FDDA4" w:rsidRPr="00D13B67">
        <w:t xml:space="preserve"> provided specific notes for minor changes to language</w:t>
      </w:r>
      <w:r w:rsidR="009E0C15" w:rsidRPr="00D13B67">
        <w:t>.</w:t>
      </w:r>
    </w:p>
    <w:p w14:paraId="364E23C1" w14:textId="13381AF3" w:rsidR="1175CC16" w:rsidRPr="00D13B67" w:rsidRDefault="7AB739BC" w:rsidP="23975D93">
      <w:pPr>
        <w:pStyle w:val="Heading4"/>
      </w:pPr>
      <w:bookmarkStart w:id="39" w:name="_Toc228867994"/>
      <w:r w:rsidRPr="00D13B67">
        <w:t>3.</w:t>
      </w:r>
      <w:r w:rsidR="1F60B694" w:rsidRPr="00D13B67">
        <w:t>4</w:t>
      </w:r>
      <w:r w:rsidRPr="00D13B67">
        <w:t xml:space="preserve">.2 </w:t>
      </w:r>
      <w:r w:rsidR="1175CC16" w:rsidRPr="00D13B67">
        <w:t>Phase 2</w:t>
      </w:r>
      <w:bookmarkEnd w:id="39"/>
    </w:p>
    <w:p w14:paraId="242C3AD3" w14:textId="1D2C4A15" w:rsidR="00950BBA" w:rsidRPr="00D13B67" w:rsidRDefault="001F2D00" w:rsidP="00E028AD">
      <w:pPr>
        <w:pStyle w:val="Body"/>
      </w:pPr>
      <w:r w:rsidRPr="00D13B67">
        <w:t xml:space="preserve">As phase 2 data shifted from qualitative to mix-methods during this project, </w:t>
      </w:r>
      <w:r w:rsidR="005C3C89" w:rsidRPr="00D13B67">
        <w:t>additional data analysis methods were included.</w:t>
      </w:r>
      <w:r w:rsidR="00B643C9" w:rsidRPr="00D13B67">
        <w:t xml:space="preserve"> Based </w:t>
      </w:r>
      <w:r w:rsidR="004530D6" w:rsidRPr="00D13B67">
        <w:t xml:space="preserve">on the National Academies of </w:t>
      </w:r>
      <w:r w:rsidR="004530D6" w:rsidRPr="00D13B67">
        <w:lastRenderedPageBreak/>
        <w:t xml:space="preserve">Sciences </w:t>
      </w:r>
      <w:r w:rsidR="00EF3FAD" w:rsidRPr="00D13B67">
        <w:t xml:space="preserve">analysis techniques for small population research and Statistics Canada’s guidance on </w:t>
      </w:r>
      <w:r w:rsidR="00702C06" w:rsidRPr="00D13B67">
        <w:t>survey theory</w:t>
      </w:r>
      <w:r w:rsidR="00CF6513" w:rsidRPr="00D13B67">
        <w:t xml:space="preserve"> for small samples, </w:t>
      </w:r>
      <w:r w:rsidR="00B72973" w:rsidRPr="00D13B67">
        <w:t>percent calculations were applied to the ordinal Likert responses</w:t>
      </w:r>
      <w:r w:rsidR="004F1A8A" w:rsidRPr="00D13B67">
        <w:t xml:space="preserve"> (</w:t>
      </w:r>
      <w:r w:rsidR="00BE4ECC" w:rsidRPr="00D13B67">
        <w:t xml:space="preserve">Rao &amp; Fuller, 2017; National Academies of Sciences, 2018). Thematic coding was applied to the open-ended </w:t>
      </w:r>
      <w:r w:rsidR="00E028AD" w:rsidRPr="00D13B67">
        <w:t>text responses per Braun &amp; Clarke (2006)</w:t>
      </w:r>
      <w:r w:rsidR="009E0C15" w:rsidRPr="00D13B67">
        <w:t xml:space="preserve"> as discussed above.</w:t>
      </w:r>
    </w:p>
    <w:p w14:paraId="1A17AD7C" w14:textId="2418211E" w:rsidR="4F44725A" w:rsidRPr="00D13B67" w:rsidRDefault="2CCE0032" w:rsidP="36910778">
      <w:pPr>
        <w:pStyle w:val="Heading2"/>
      </w:pPr>
      <w:bookmarkStart w:id="40" w:name="_Toc228867995"/>
      <w:r w:rsidRPr="00D13B67">
        <w:t xml:space="preserve">4 </w:t>
      </w:r>
      <w:r w:rsidR="4F44725A" w:rsidRPr="00D13B67">
        <w:t>Results</w:t>
      </w:r>
      <w:bookmarkEnd w:id="40"/>
    </w:p>
    <w:p w14:paraId="4DF2662A" w14:textId="31DB314F" w:rsidR="49EC1066" w:rsidRPr="00D13B67" w:rsidRDefault="008C7012" w:rsidP="58146045">
      <w:pPr>
        <w:pStyle w:val="Heading3"/>
      </w:pPr>
      <w:bookmarkStart w:id="41" w:name="_Toc228867996"/>
      <w:r w:rsidRPr="00D13B67">
        <w:t xml:space="preserve">4.1 Phase 1 </w:t>
      </w:r>
      <w:r w:rsidR="49EC1066" w:rsidRPr="00D13B67">
        <w:t>Students</w:t>
      </w:r>
      <w:bookmarkEnd w:id="41"/>
    </w:p>
    <w:p w14:paraId="440E048A" w14:textId="3A9765E4" w:rsidR="00476D48" w:rsidRPr="00D13B67" w:rsidRDefault="00775EC8" w:rsidP="0080241A">
      <w:pPr>
        <w:pStyle w:val="Body"/>
      </w:pPr>
      <w:r w:rsidRPr="00D13B67">
        <w:t>The results</w:t>
      </w:r>
      <w:r w:rsidR="00055FB1" w:rsidRPr="00D13B67">
        <w:t xml:space="preserve"> of </w:t>
      </w:r>
      <w:r w:rsidR="008D3FEB" w:rsidRPr="00D13B67">
        <w:t xml:space="preserve">the </w:t>
      </w:r>
      <w:r w:rsidRPr="00D13B67">
        <w:t>co-design sessions provided valuable insight into the student experience.</w:t>
      </w:r>
      <w:r w:rsidR="008D3FEB" w:rsidRPr="00D13B67">
        <w:t xml:space="preserve"> By working with students to analyze their experience</w:t>
      </w:r>
      <w:r w:rsidR="00142055" w:rsidRPr="00D13B67">
        <w:t>s</w:t>
      </w:r>
      <w:r w:rsidR="008D3FEB" w:rsidRPr="00D13B67">
        <w:t xml:space="preserve"> using assistive technology</w:t>
      </w:r>
      <w:r w:rsidR="005E3794" w:rsidRPr="00D13B67">
        <w:t>, common thematic elements reveal numerous issues facing disabled students in post-secondary education.</w:t>
      </w:r>
      <w:r w:rsidR="00532737" w:rsidRPr="00D13B67">
        <w:t xml:space="preserve"> </w:t>
      </w:r>
      <w:r w:rsidR="00D55E2C" w:rsidRPr="00D13B67">
        <w:t>Data</w:t>
      </w:r>
      <w:r w:rsidR="009B24CE" w:rsidRPr="00D13B67">
        <w:t xml:space="preserve"> from the student sessions </w:t>
      </w:r>
      <w:r w:rsidR="00DB32EE" w:rsidRPr="00D13B67">
        <w:t xml:space="preserve">was coded and </w:t>
      </w:r>
      <w:r w:rsidR="001D4F92" w:rsidRPr="00D13B67">
        <w:t>sorted into four themes: Formats, Student Experience, Time, and Solutions.</w:t>
      </w:r>
    </w:p>
    <w:p w14:paraId="6746423B" w14:textId="18A4A07B" w:rsidR="6868CC90" w:rsidRPr="00D13B67" w:rsidRDefault="008925D3" w:rsidP="58146045">
      <w:pPr>
        <w:pStyle w:val="Heading4"/>
      </w:pPr>
      <w:bookmarkStart w:id="42" w:name="_Toc228867997"/>
      <w:r w:rsidRPr="00D13B67">
        <w:t xml:space="preserve">4.1.1 </w:t>
      </w:r>
      <w:r w:rsidR="6868CC90" w:rsidRPr="00D13B67">
        <w:t>Formats</w:t>
      </w:r>
      <w:bookmarkEnd w:id="42"/>
    </w:p>
    <w:p w14:paraId="0D67BDA2" w14:textId="27DF0392" w:rsidR="1253D045" w:rsidRPr="00D13B67" w:rsidRDefault="00226838" w:rsidP="00600451">
      <w:pPr>
        <w:pStyle w:val="Body"/>
      </w:pPr>
      <w:r w:rsidRPr="00D13B67">
        <w:t xml:space="preserve">All co-designers mentioned digital file formats that do and do not work well for them and their assistive technology. </w:t>
      </w:r>
      <w:r w:rsidR="0013472F" w:rsidRPr="00D13B67">
        <w:t xml:space="preserve">The </w:t>
      </w:r>
      <w:r w:rsidR="001554FE">
        <w:t xml:space="preserve">chosen file </w:t>
      </w:r>
      <w:r w:rsidR="006C228F">
        <w:t>format</w:t>
      </w:r>
      <w:r w:rsidR="001554FE">
        <w:t>s</w:t>
      </w:r>
      <w:r w:rsidR="0013472F" w:rsidRPr="00D13B67">
        <w:t xml:space="preserve"> used in a course has a significant impact on learners. </w:t>
      </w:r>
      <w:r w:rsidR="00600451" w:rsidRPr="00D13B67">
        <w:t xml:space="preserve">One </w:t>
      </w:r>
      <w:r w:rsidR="005E4252" w:rsidRPr="00D13B67">
        <w:t xml:space="preserve">Langara </w:t>
      </w:r>
      <w:r w:rsidR="00600451" w:rsidRPr="00D13B67">
        <w:t>student explained:</w:t>
      </w:r>
    </w:p>
    <w:p w14:paraId="5FE2AE6A" w14:textId="77777777" w:rsidR="1253D045" w:rsidRPr="00D13B67" w:rsidRDefault="1253D045" w:rsidP="00F042C9">
      <w:pPr>
        <w:pStyle w:val="Student"/>
      </w:pPr>
      <w:r w:rsidRPr="00D13B67">
        <w:t xml:space="preserve">“You’re really playing Russian roulette with what you’re getting and sometimes you </w:t>
      </w:r>
      <w:proofErr w:type="gramStart"/>
      <w:r w:rsidRPr="00D13B67">
        <w:t>have to</w:t>
      </w:r>
      <w:proofErr w:type="gramEnd"/>
      <w:r w:rsidRPr="00D13B67">
        <w:t xml:space="preserve"> drop the course on the first day </w:t>
      </w:r>
      <w:proofErr w:type="spellStart"/>
      <w:r w:rsidRPr="00D13B67">
        <w:t>’</w:t>
      </w:r>
      <w:proofErr w:type="gramStart"/>
      <w:r w:rsidRPr="00D13B67">
        <w:t>cause</w:t>
      </w:r>
      <w:proofErr w:type="spellEnd"/>
      <w:proofErr w:type="gramEnd"/>
      <w:r w:rsidRPr="00D13B67">
        <w:t xml:space="preserve"> you see what format they’re using.</w:t>
      </w:r>
      <w:r w:rsidR="36FABB45" w:rsidRPr="00D13B67">
        <w:t>”</w:t>
      </w:r>
    </w:p>
    <w:p w14:paraId="164A0C0D" w14:textId="550F9F5A" w:rsidR="6868CC90" w:rsidRPr="00D13B67" w:rsidRDefault="6868CC90" w:rsidP="0080241A">
      <w:pPr>
        <w:pStyle w:val="Attribution"/>
      </w:pPr>
      <w:r w:rsidRPr="00D13B67">
        <w:t xml:space="preserve">– </w:t>
      </w:r>
      <w:r w:rsidR="0041056F" w:rsidRPr="00D13B67">
        <w:t>Stella Grynspan</w:t>
      </w:r>
    </w:p>
    <w:p w14:paraId="482365F3" w14:textId="52B6440A" w:rsidR="00310436" w:rsidRPr="00D13B67" w:rsidRDefault="00984351" w:rsidP="00984351">
      <w:pPr>
        <w:pStyle w:val="Body"/>
        <w:ind w:firstLine="0"/>
      </w:pPr>
      <w:r w:rsidRPr="00D13B67">
        <w:t xml:space="preserve">The lack of information about what to expect means </w:t>
      </w:r>
      <w:r w:rsidR="00635CE0" w:rsidRPr="00D13B67">
        <w:t xml:space="preserve">learners may find their experience inconsistent, disjointed, or </w:t>
      </w:r>
      <w:r w:rsidR="003F6618" w:rsidRPr="00D13B67">
        <w:t>impossible to manage</w:t>
      </w:r>
      <w:r w:rsidR="00635CE0" w:rsidRPr="00D13B67">
        <w:t xml:space="preserve">. </w:t>
      </w:r>
    </w:p>
    <w:p w14:paraId="0E98F793" w14:textId="5680D0B1" w:rsidR="00E6512F" w:rsidRPr="00D13B67" w:rsidRDefault="008D62EC" w:rsidP="0080241A">
      <w:pPr>
        <w:pStyle w:val="Body"/>
      </w:pPr>
      <w:r w:rsidRPr="00D13B67">
        <w:lastRenderedPageBreak/>
        <w:t>Langara student Stella Grynspan indicated that they have “taken multiple courses where I couldn’t even do the course because they had many inaccessible sources.”</w:t>
      </w:r>
      <w:r w:rsidR="00873C5D" w:rsidRPr="00D13B67">
        <w:t xml:space="preserve"> </w:t>
      </w:r>
      <w:r w:rsidR="00E6512F" w:rsidRPr="00D13B67">
        <w:t>An unnamed former Langara and current UBC student noted that inaccessible content in a class was such a barrier that:</w:t>
      </w:r>
    </w:p>
    <w:p w14:paraId="5A1F5FFE" w14:textId="504790B2" w:rsidR="001307FD" w:rsidRPr="00D13B67" w:rsidRDefault="00E6512F" w:rsidP="00F042C9">
      <w:pPr>
        <w:pStyle w:val="Student"/>
      </w:pPr>
      <w:r w:rsidRPr="00D13B67">
        <w:t>“I dropped that course! I couldn’t pass it! I dropped the course, and it changed my</w:t>
      </w:r>
      <w:r w:rsidR="003F6618" w:rsidRPr="00D13B67">
        <w:t xml:space="preserve"> </w:t>
      </w:r>
      <w:r w:rsidRPr="00D13B67">
        <w:t>education trajectory.”</w:t>
      </w:r>
    </w:p>
    <w:p w14:paraId="062418C9" w14:textId="77777777" w:rsidR="00D21428" w:rsidRPr="00D13B67" w:rsidRDefault="00D21428" w:rsidP="0080241A"/>
    <w:p w14:paraId="2FBD5470" w14:textId="35DAAEF9" w:rsidR="00E6512F" w:rsidRPr="00D13B67" w:rsidRDefault="001307FD" w:rsidP="0080241A">
      <w:pPr>
        <w:pStyle w:val="Body"/>
      </w:pPr>
      <w:r w:rsidRPr="00D13B67">
        <w:t xml:space="preserve">The Canadian Human Rights Commission </w:t>
      </w:r>
      <w:r w:rsidR="00627601" w:rsidRPr="00D13B67">
        <w:t xml:space="preserve">(2017) </w:t>
      </w:r>
      <w:r w:rsidRPr="00D13B67">
        <w:t xml:space="preserve">found that </w:t>
      </w:r>
      <w:r w:rsidR="00E6512F" w:rsidRPr="00D13B67">
        <w:t xml:space="preserve">20% of Canadian students with disabilities altered their </w:t>
      </w:r>
      <w:r w:rsidR="002F2556" w:rsidRPr="00D13B67">
        <w:t>academic path due to their disability</w:t>
      </w:r>
      <w:r w:rsidR="003A2B12" w:rsidRPr="00D13B67">
        <w:t>. A 202</w:t>
      </w:r>
      <w:r w:rsidR="00D21428" w:rsidRPr="00D13B67">
        <w:t>2</w:t>
      </w:r>
      <w:r w:rsidR="003A2B12" w:rsidRPr="00D13B67">
        <w:t xml:space="preserve"> article</w:t>
      </w:r>
      <w:r w:rsidR="00627601" w:rsidRPr="00D13B67">
        <w:t xml:space="preserve"> </w:t>
      </w:r>
      <w:r w:rsidR="003A2B12" w:rsidRPr="00D13B67">
        <w:t xml:space="preserve">found that inaccessible content </w:t>
      </w:r>
      <w:r w:rsidR="009D0054" w:rsidRPr="00D13B67">
        <w:t xml:space="preserve">“can halt academic progress for students who rely on </w:t>
      </w:r>
      <w:r w:rsidR="00D21428" w:rsidRPr="00D13B67">
        <w:t>assistive technology” (</w:t>
      </w:r>
      <w:proofErr w:type="spellStart"/>
      <w:r w:rsidR="0044036C" w:rsidRPr="00D13B67">
        <w:t>Lomellini</w:t>
      </w:r>
      <w:proofErr w:type="spellEnd"/>
      <w:r w:rsidR="0044036C" w:rsidRPr="00D13B67">
        <w:t xml:space="preserve"> et al., </w:t>
      </w:r>
      <w:r w:rsidR="00D21428" w:rsidRPr="00D13B67">
        <w:t>p. 2).</w:t>
      </w:r>
    </w:p>
    <w:p w14:paraId="6CFDBCD1" w14:textId="05DE3A7F" w:rsidR="3553BADF" w:rsidRPr="00D13B67" w:rsidRDefault="00724099" w:rsidP="0080241A">
      <w:pPr>
        <w:pStyle w:val="Body"/>
      </w:pPr>
      <w:r w:rsidRPr="00D13B67">
        <w:t>Co</w:t>
      </w:r>
      <w:r w:rsidR="00CD485C" w:rsidRPr="00D13B67">
        <w:t>-designers</w:t>
      </w:r>
      <w:r w:rsidR="3553BADF" w:rsidRPr="00D13B67">
        <w:t xml:space="preserve"> expressed that inaccessible content is a direct barrier to success.</w:t>
      </w:r>
      <w:r w:rsidR="007202D4" w:rsidRPr="00D13B67">
        <w:t xml:space="preserve"> Langara student Lila McKinlay noted that </w:t>
      </w:r>
      <w:r w:rsidR="00E6512F" w:rsidRPr="00D13B67">
        <w:t xml:space="preserve">while </w:t>
      </w:r>
      <w:r w:rsidR="007202D4" w:rsidRPr="00D13B67">
        <w:t>some courses have “</w:t>
      </w:r>
      <w:r w:rsidR="3553BADF" w:rsidRPr="00D13B67">
        <w:t>been excellent</w:t>
      </w:r>
      <w:r w:rsidR="00C7698D" w:rsidRPr="00D13B67">
        <w:t>,</w:t>
      </w:r>
      <w:r w:rsidR="3553BADF" w:rsidRPr="00D13B67">
        <w:t xml:space="preserve"> the majority’s been really tough, and some have been really, really</w:t>
      </w:r>
      <w:r w:rsidR="0044036C" w:rsidRPr="00D13B67">
        <w:t xml:space="preserve"> . . .</w:t>
      </w:r>
      <w:r w:rsidR="3553BADF" w:rsidRPr="00D13B67">
        <w:t xml:space="preserve"> hindering my ability to participate.”</w:t>
      </w:r>
      <w:r w:rsidR="008D62EC" w:rsidRPr="00D13B67">
        <w:t xml:space="preserve"> Stella noted that inaccessible content </w:t>
      </w:r>
      <w:r w:rsidR="007044D4" w:rsidRPr="00D13B67">
        <w:t>has “</w:t>
      </w:r>
      <w:r w:rsidR="3553BADF" w:rsidRPr="00D13B67">
        <w:t>been prohibitive in taking multiple classes at Langara [and] really prohibitive to my education.”</w:t>
      </w:r>
    </w:p>
    <w:p w14:paraId="3BA66D73" w14:textId="05537009" w:rsidR="3E58C3DB" w:rsidRPr="00D13B67" w:rsidRDefault="00DD4D13" w:rsidP="0080241A">
      <w:pPr>
        <w:pStyle w:val="Body"/>
      </w:pPr>
      <w:r w:rsidRPr="00D13B67">
        <w:t xml:space="preserve">As discussed in previous sections, some file formats are more accessible than others. </w:t>
      </w:r>
      <w:r w:rsidR="3E58C3DB" w:rsidRPr="00D13B67">
        <w:t>While each learner is different, there are formats that generally work better with assistive technology.</w:t>
      </w:r>
      <w:r w:rsidR="00EB26D2" w:rsidRPr="00D13B67">
        <w:t xml:space="preserve"> Former Langara and current SFU student Soma Ali, who uses screen reader software for all digital content, noted a preference for Word documents. When asked about an ideal format, Soma said:</w:t>
      </w:r>
    </w:p>
    <w:p w14:paraId="7AC19909" w14:textId="6F416601" w:rsidR="3E58C3DB" w:rsidRPr="00D13B67" w:rsidRDefault="3E58C3DB" w:rsidP="00F042C9">
      <w:pPr>
        <w:pStyle w:val="Student"/>
      </w:pPr>
      <w:r w:rsidRPr="00D13B67">
        <w:t xml:space="preserve">“I ask that they produce it in a Word format. </w:t>
      </w:r>
      <w:r w:rsidR="00485A57" w:rsidRPr="00D13B67">
        <w:t>A</w:t>
      </w:r>
      <w:r w:rsidRPr="00D13B67">
        <w:t xml:space="preserve"> rich text or something other than PDF, as JAWS [screen reader software] and PDFs I find are not the most compatible with one another . . . I wish [instructors] would be more willing to convert things </w:t>
      </w:r>
      <w:r w:rsidR="00485A57" w:rsidRPr="00D13B67">
        <w:t>. . .</w:t>
      </w:r>
      <w:r w:rsidRPr="00D13B67">
        <w:t xml:space="preserve"> out of PDF.”</w:t>
      </w:r>
    </w:p>
    <w:p w14:paraId="7018E5C7" w14:textId="1A53147D" w:rsidR="3E58C3DB" w:rsidRPr="00D13B67" w:rsidRDefault="3E58C3DB" w:rsidP="0080241A">
      <w:pPr>
        <w:pStyle w:val="Attribution"/>
      </w:pPr>
      <w:r w:rsidRPr="00D13B67">
        <w:t xml:space="preserve">– </w:t>
      </w:r>
      <w:r w:rsidR="0013151E" w:rsidRPr="00D13B67">
        <w:t>Soma Ali</w:t>
      </w:r>
    </w:p>
    <w:p w14:paraId="0633F8B6" w14:textId="6D0933ED" w:rsidR="3E58C3DB" w:rsidRPr="00D13B67" w:rsidRDefault="3E58C3DB" w:rsidP="00C7698D">
      <w:pPr>
        <w:spacing w:after="240"/>
      </w:pPr>
      <w:r w:rsidRPr="00D13B67">
        <w:lastRenderedPageBreak/>
        <w:t xml:space="preserve">When asked ‘what does JAWS do with an inaccessible PDF?’, </w:t>
      </w:r>
      <w:r w:rsidR="00EB26D2" w:rsidRPr="00D13B67">
        <w:t>Soma</w:t>
      </w:r>
      <w:r w:rsidRPr="00D13B67">
        <w:t xml:space="preserve"> replied:</w:t>
      </w:r>
    </w:p>
    <w:p w14:paraId="073C1CEC" w14:textId="3AF33A69" w:rsidR="3E58C3DB" w:rsidRPr="00D13B67" w:rsidRDefault="3E58C3DB" w:rsidP="00F042C9">
      <w:pPr>
        <w:pStyle w:val="Student"/>
      </w:pPr>
      <w:r w:rsidRPr="00D13B67">
        <w:t>“It would say to me, blank document.”</w:t>
      </w:r>
    </w:p>
    <w:p w14:paraId="6FF6C07A" w14:textId="77777777" w:rsidR="00EB26D2" w:rsidRPr="00D13B67" w:rsidRDefault="00EB26D2" w:rsidP="58146045"/>
    <w:p w14:paraId="6B215716" w14:textId="69AA2F8C" w:rsidR="00EB26D2" w:rsidRPr="00D13B67" w:rsidRDefault="00C7698D" w:rsidP="00C7698D">
      <w:pPr>
        <w:pStyle w:val="Body"/>
        <w:ind w:firstLine="0"/>
      </w:pPr>
      <w:r w:rsidRPr="00D13B67">
        <w:t xml:space="preserve">Here </w:t>
      </w:r>
      <w:r w:rsidR="00AC2CF3" w:rsidRPr="00D13B67">
        <w:t>Soma explain</w:t>
      </w:r>
      <w:r w:rsidRPr="00D13B67">
        <w:t>ed</w:t>
      </w:r>
      <w:r w:rsidR="00AC2CF3" w:rsidRPr="00D13B67">
        <w:t xml:space="preserve"> a common occurrence with inaccessible PDFs. As PDFs inherently lack accessible structure, an inaccessible PDF is essentially an image and screen reader software cannot convey the content to the user.</w:t>
      </w:r>
    </w:p>
    <w:p w14:paraId="00F2D1C7" w14:textId="0A5FA7A8" w:rsidR="3E58C3DB" w:rsidRPr="00D13B67" w:rsidRDefault="00AC2CF3" w:rsidP="0080241A">
      <w:pPr>
        <w:pStyle w:val="Body"/>
      </w:pPr>
      <w:r w:rsidRPr="00D13B67">
        <w:t>Lila McKinlay noted content types</w:t>
      </w:r>
      <w:r w:rsidR="3E58C3DB" w:rsidRPr="00D13B67">
        <w:t xml:space="preserve"> that don’t work for any learner</w:t>
      </w:r>
      <w:r w:rsidRPr="00D13B67">
        <w:t>:</w:t>
      </w:r>
    </w:p>
    <w:p w14:paraId="7E666D72" w14:textId="1D572967" w:rsidR="3E58C3DB" w:rsidRPr="00D13B67" w:rsidRDefault="3E58C3DB" w:rsidP="00F042C9">
      <w:pPr>
        <w:pStyle w:val="Student"/>
      </w:pPr>
      <w:r w:rsidRPr="00D13B67">
        <w:t>“I’ve had so many times where it’s just a scan of an article, a scan of</w:t>
      </w:r>
      <w:r w:rsidR="00837C3D" w:rsidRPr="00D13B67">
        <w:t xml:space="preserve"> . . .</w:t>
      </w:r>
      <w:r w:rsidRPr="00D13B67">
        <w:t xml:space="preserve"> you know, 3 pages of a book or something, and it’s freaking even sideways, and it’s just so </w:t>
      </w:r>
      <w:r w:rsidR="00C7698D" w:rsidRPr="00D13B67">
        <w:t>fucking</w:t>
      </w:r>
      <w:r w:rsidRPr="00D13B67">
        <w:t xml:space="preserve"> annoying, and so that’s where I’ve had to go find my own technologies.”</w:t>
      </w:r>
    </w:p>
    <w:p w14:paraId="6946FC45" w14:textId="77777777" w:rsidR="00AC2CF3" w:rsidRPr="00D13B67" w:rsidRDefault="00AC2CF3" w:rsidP="0080241A"/>
    <w:p w14:paraId="1B73C7C7" w14:textId="627496CB" w:rsidR="3E58C3DB" w:rsidRPr="00D13B67" w:rsidRDefault="00AC2CF3" w:rsidP="00837C3D">
      <w:pPr>
        <w:spacing w:after="240"/>
      </w:pPr>
      <w:r w:rsidRPr="00D13B67">
        <w:t>However,</w:t>
      </w:r>
      <w:r w:rsidR="3E58C3DB" w:rsidRPr="00D13B67">
        <w:t xml:space="preserve"> </w:t>
      </w:r>
      <w:r w:rsidR="00966D87" w:rsidRPr="00D13B67">
        <w:t xml:space="preserve">Lila </w:t>
      </w:r>
      <w:r w:rsidRPr="00D13B67">
        <w:t>acknowledged</w:t>
      </w:r>
      <w:r w:rsidR="3E58C3DB" w:rsidRPr="00D13B67">
        <w:t xml:space="preserve"> progress over time and some positive experiences:</w:t>
      </w:r>
    </w:p>
    <w:p w14:paraId="43C3EF44" w14:textId="20A92F39" w:rsidR="3E58C3DB" w:rsidRPr="00D13B67" w:rsidRDefault="3E58C3DB" w:rsidP="00F042C9">
      <w:pPr>
        <w:pStyle w:val="Student"/>
      </w:pPr>
      <w:r w:rsidRPr="00D13B67">
        <w:t xml:space="preserve">“They made sure that there </w:t>
      </w:r>
      <w:proofErr w:type="gramStart"/>
      <w:r w:rsidRPr="00D13B67">
        <w:t>was</w:t>
      </w:r>
      <w:proofErr w:type="gramEnd"/>
      <w:r w:rsidRPr="00D13B67">
        <w:t xml:space="preserve"> no textbooks that had to be purchased. They were making sure that they had . . . yeah, basically that all their stuff was… as accessible</w:t>
      </w:r>
      <w:r w:rsidR="007F52C0" w:rsidRPr="00D13B67">
        <w:t xml:space="preserve"> in</w:t>
      </w:r>
      <w:r w:rsidRPr="00D13B67">
        <w:t xml:space="preserve"> the broad term of that . . . it was all, um . . . digitally created, no scans.”</w:t>
      </w:r>
    </w:p>
    <w:p w14:paraId="2424BD16" w14:textId="77777777" w:rsidR="00324711" w:rsidRPr="00D13B67" w:rsidRDefault="00324711" w:rsidP="0080241A"/>
    <w:p w14:paraId="7B82681E" w14:textId="33DC0C8A" w:rsidR="00385571" w:rsidRPr="00D13B67" w:rsidRDefault="00324711" w:rsidP="00837C3D">
      <w:pPr>
        <w:pStyle w:val="Body"/>
        <w:ind w:firstLine="0"/>
      </w:pPr>
      <w:r w:rsidRPr="00D13B67">
        <w:t xml:space="preserve">The small distinction Lila notes between digital content that </w:t>
      </w:r>
      <w:r w:rsidR="008D53BF" w:rsidRPr="00D13B67">
        <w:t>was more accessible and poor</w:t>
      </w:r>
      <w:r w:rsidR="00B16427" w:rsidRPr="00D13B67">
        <w:t>-</w:t>
      </w:r>
      <w:r w:rsidR="008D53BF" w:rsidRPr="00D13B67">
        <w:t xml:space="preserve">quality scans of content may not be significant to readers who do not rely on assistive technology or have </w:t>
      </w:r>
      <w:r w:rsidR="00385571" w:rsidRPr="00D13B67">
        <w:t xml:space="preserve">near-perfect eyesight. </w:t>
      </w:r>
    </w:p>
    <w:p w14:paraId="4D23CF3F" w14:textId="4577B133" w:rsidR="003A5961" w:rsidRPr="00D13B67" w:rsidRDefault="007F52C0" w:rsidP="0080241A">
      <w:pPr>
        <w:pStyle w:val="Body"/>
      </w:pPr>
      <w:r w:rsidRPr="00D13B67">
        <w:t xml:space="preserve">Stella stressed the importance of instructors making deliberate and intentional choices with their learning materials, </w:t>
      </w:r>
      <w:r w:rsidR="00F21CB6" w:rsidRPr="00D13B67">
        <w:t>imploring</w:t>
      </w:r>
      <w:r w:rsidRPr="00D13B67">
        <w:t xml:space="preserve">: </w:t>
      </w:r>
      <w:r w:rsidR="00F21CB6" w:rsidRPr="00D13B67">
        <w:t>“</w:t>
      </w:r>
      <w:r w:rsidR="3E58C3DB" w:rsidRPr="00D13B67">
        <w:t xml:space="preserve">please realize if you’re using a textbook, make sure it’s accessible . . . because </w:t>
      </w:r>
      <w:r w:rsidR="00F21CB6" w:rsidRPr="00D13B67">
        <w:t>[disabled students are]</w:t>
      </w:r>
      <w:r w:rsidR="3E58C3DB" w:rsidRPr="00D13B67">
        <w:t xml:space="preserve"> not only just . . . reading the textbook, they’re also converting it into an accessible format for them and a format that they can learn.”</w:t>
      </w:r>
      <w:r w:rsidR="00F21CB6" w:rsidRPr="00D13B67">
        <w:t xml:space="preserve"> </w:t>
      </w:r>
      <w:proofErr w:type="spellStart"/>
      <w:r w:rsidR="00A17674" w:rsidRPr="00D13B67">
        <w:t>Fichten</w:t>
      </w:r>
      <w:proofErr w:type="spellEnd"/>
      <w:r w:rsidR="00A17674" w:rsidRPr="00D13B67">
        <w:t xml:space="preserve"> et al.</w:t>
      </w:r>
      <w:r w:rsidR="00627601" w:rsidRPr="00D13B67">
        <w:t xml:space="preserve"> (2020)</w:t>
      </w:r>
      <w:r w:rsidR="00A17674" w:rsidRPr="00D13B67">
        <w:t xml:space="preserve"> found that proprietary text-to-speech technology</w:t>
      </w:r>
      <w:r w:rsidR="007F3AE7" w:rsidRPr="00D13B67">
        <w:t xml:space="preserve"> included in some e</w:t>
      </w:r>
      <w:r w:rsidR="00D13B67">
        <w:t xml:space="preserve">lectronic </w:t>
      </w:r>
      <w:r w:rsidR="007F3AE7" w:rsidRPr="00D13B67">
        <w:t xml:space="preserve">textbooks and general incompatibility </w:t>
      </w:r>
      <w:r w:rsidR="0091694A" w:rsidRPr="00D13B67">
        <w:t xml:space="preserve">with assistive technology </w:t>
      </w:r>
      <w:r w:rsidR="007F3AE7" w:rsidRPr="00D13B67">
        <w:t>were significant factors</w:t>
      </w:r>
      <w:r w:rsidR="0091694A" w:rsidRPr="00D13B67">
        <w:t xml:space="preserve"> </w:t>
      </w:r>
      <w:r w:rsidR="008925D3" w:rsidRPr="00D13B67">
        <w:t>making many digital books inaccessible.</w:t>
      </w:r>
    </w:p>
    <w:p w14:paraId="6F85A008" w14:textId="7742AA1D" w:rsidR="3E58C3DB" w:rsidRPr="00D13B67" w:rsidRDefault="00F21CB6" w:rsidP="0080241A">
      <w:pPr>
        <w:pStyle w:val="Body"/>
      </w:pPr>
      <w:r w:rsidRPr="00D13B67">
        <w:lastRenderedPageBreak/>
        <w:t xml:space="preserve">Regarding textbooks, both Stella and Matt McLeod (a former Langara and current UBC student), indicated their frustration with </w:t>
      </w:r>
      <w:r w:rsidR="00797768" w:rsidRPr="00D13B67">
        <w:t xml:space="preserve">courses that over-rely on publisher platforms. Matt was critical of </w:t>
      </w:r>
      <w:r w:rsidR="001A1619" w:rsidRPr="00D13B67">
        <w:t>instructors</w:t>
      </w:r>
      <w:r w:rsidR="00797768" w:rsidRPr="00D13B67">
        <w:t xml:space="preserve"> stating they “</w:t>
      </w:r>
      <w:r w:rsidR="3E58C3DB" w:rsidRPr="00D13B67">
        <w:t>are being lazy because they’re getting, they’re getting a PDF full of</w:t>
      </w:r>
      <w:r w:rsidR="00797768" w:rsidRPr="00D13B67">
        <w:t xml:space="preserve"> . . .</w:t>
      </w:r>
      <w:r w:rsidR="3E58C3DB" w:rsidRPr="00D13B67">
        <w:t xml:space="preserve"> lecture slides, notes, talking points, keywords, and an exam bank. So</w:t>
      </w:r>
      <w:r w:rsidR="00EC2423" w:rsidRPr="00D13B67">
        <w:t>,</w:t>
      </w:r>
      <w:r w:rsidR="3E58C3DB" w:rsidRPr="00D13B67">
        <w:t xml:space="preserve"> they </w:t>
      </w:r>
      <w:proofErr w:type="gramStart"/>
      <w:r w:rsidR="3E58C3DB" w:rsidRPr="00D13B67">
        <w:t>have to</w:t>
      </w:r>
      <w:proofErr w:type="gramEnd"/>
      <w:r w:rsidR="3E58C3DB" w:rsidRPr="00D13B67">
        <w:t xml:space="preserve"> do </w:t>
      </w:r>
      <w:r w:rsidR="00EC2423" w:rsidRPr="00D13B67">
        <w:t>shit</w:t>
      </w:r>
      <w:r w:rsidR="009B0BE2">
        <w:t>.”</w:t>
      </w:r>
      <w:r w:rsidR="00797768" w:rsidRPr="00D13B67">
        <w:t xml:space="preserve"> Matt was incredibly gracious in his next sentence, asking,</w:t>
      </w:r>
      <w:r w:rsidR="3E58C3DB" w:rsidRPr="00D13B67">
        <w:t xml:space="preserve"> </w:t>
      </w:r>
      <w:r w:rsidR="00797768" w:rsidRPr="00D13B67">
        <w:t>“</w:t>
      </w:r>
      <w:r w:rsidR="3E58C3DB" w:rsidRPr="00D13B67">
        <w:t>Is that really their fault? The instructor? No, because they’re in a world where they’re not paid enough to do what they’re doing. They’re exploited… most of them.”</w:t>
      </w:r>
      <w:r w:rsidR="00797768" w:rsidRPr="00D13B67">
        <w:t xml:space="preserve"> Stella, when</w:t>
      </w:r>
      <w:r w:rsidR="3E58C3DB" w:rsidRPr="00D13B67">
        <w:t xml:space="preserve"> asked who is most responsible for inaccessible content, </w:t>
      </w:r>
      <w:r w:rsidR="008B75CC" w:rsidRPr="00D13B67">
        <w:t>stated</w:t>
      </w:r>
      <w:r w:rsidR="3E58C3DB" w:rsidRPr="00D13B67">
        <w:t>:</w:t>
      </w:r>
    </w:p>
    <w:p w14:paraId="7459525B" w14:textId="19BA9A06" w:rsidR="3E58C3DB" w:rsidRPr="00D13B67" w:rsidRDefault="3E58C3DB" w:rsidP="00F042C9">
      <w:pPr>
        <w:pStyle w:val="Student"/>
      </w:pPr>
      <w:r w:rsidRPr="00D13B67">
        <w:t xml:space="preserve">“I would say it’s the teachers. I don’t want to blame them because they’re underpaid and they’re overworked. </w:t>
      </w:r>
    </w:p>
    <w:p w14:paraId="02CBF9CA" w14:textId="77777777" w:rsidR="008B75CC" w:rsidRPr="00D13B67" w:rsidRDefault="008B75CC" w:rsidP="0080241A"/>
    <w:p w14:paraId="5EF9C49F" w14:textId="3EBFEA65" w:rsidR="004175EF" w:rsidRPr="00D13B67" w:rsidRDefault="008B75CC" w:rsidP="0080241A">
      <w:pPr>
        <w:pStyle w:val="Body"/>
      </w:pPr>
      <w:r w:rsidRPr="00D13B67">
        <w:t>However, Stella noted a simple compromise</w:t>
      </w:r>
      <w:r w:rsidR="000B695A" w:rsidRPr="00D13B67">
        <w:t xml:space="preserve"> to ensure students get access to essential information:</w:t>
      </w:r>
      <w:r w:rsidRPr="00D13B67">
        <w:t xml:space="preserve"> “if [instructor] could just . . . put everything in the </w:t>
      </w:r>
      <w:proofErr w:type="gramStart"/>
      <w:r w:rsidRPr="00D13B67">
        <w:t>most simple</w:t>
      </w:r>
      <w:proofErr w:type="gramEnd"/>
      <w:r w:rsidR="00EC2423" w:rsidRPr="00D13B67">
        <w:t xml:space="preserve"> . . .</w:t>
      </w:r>
      <w:r w:rsidRPr="00D13B67">
        <w:t xml:space="preserve"> it doesn’t have to be super </w:t>
      </w:r>
      <w:proofErr w:type="spellStart"/>
      <w:r w:rsidRPr="00D13B67">
        <w:t>’</w:t>
      </w:r>
      <w:proofErr w:type="gramStart"/>
      <w:r w:rsidRPr="00D13B67">
        <w:t>cause</w:t>
      </w:r>
      <w:proofErr w:type="spellEnd"/>
      <w:proofErr w:type="gramEnd"/>
      <w:r w:rsidRPr="00D13B67">
        <w:t xml:space="preserve"> it has to be a Word document with everything that’s going to be on the test.”</w:t>
      </w:r>
      <w:r w:rsidR="008925D3" w:rsidRPr="00D13B67">
        <w:t xml:space="preserve"> </w:t>
      </w:r>
      <w:r w:rsidR="00D05B45" w:rsidRPr="00D13B67">
        <w:t xml:space="preserve">Henry </w:t>
      </w:r>
      <w:r w:rsidR="008925D3" w:rsidRPr="00D13B67">
        <w:t>Swan’s</w:t>
      </w:r>
      <w:r w:rsidR="00627601" w:rsidRPr="00D13B67">
        <w:t xml:space="preserve"> 2025</w:t>
      </w:r>
      <w:r w:rsidR="008925D3" w:rsidRPr="00D13B67">
        <w:t xml:space="preserve"> guide to inclusive design</w:t>
      </w:r>
      <w:r w:rsidR="00EC5A35" w:rsidRPr="00D13B67">
        <w:t xml:space="preserve"> suggests </w:t>
      </w:r>
      <w:r w:rsidR="004175EF" w:rsidRPr="00D13B67">
        <w:t xml:space="preserve">good design will “prioritise content” so that </w:t>
      </w:r>
      <w:r w:rsidR="00EC5A35" w:rsidRPr="00D13B67">
        <w:t>“people can accomplish tasks in a way that suits their needs without undermining the quality of the content”</w:t>
      </w:r>
      <w:r w:rsidR="004175EF" w:rsidRPr="00D13B67">
        <w:t>.</w:t>
      </w:r>
    </w:p>
    <w:p w14:paraId="617936E5" w14:textId="0029CF13" w:rsidR="3E58C3DB" w:rsidRPr="00D13B67" w:rsidRDefault="3E58C3DB" w:rsidP="0080241A">
      <w:pPr>
        <w:pStyle w:val="Body"/>
      </w:pPr>
      <w:r w:rsidRPr="00D13B67">
        <w:t xml:space="preserve">While only speaking for herself, </w:t>
      </w:r>
      <w:r w:rsidR="008925D3" w:rsidRPr="00D13B67">
        <w:t>Stella</w:t>
      </w:r>
      <w:r w:rsidRPr="00D13B67">
        <w:t xml:space="preserve"> wanted to remind instructors to focus on what really matters, access:</w:t>
      </w:r>
    </w:p>
    <w:p w14:paraId="023BE2E3" w14:textId="77777777" w:rsidR="1B031417" w:rsidRPr="00D13B67" w:rsidRDefault="1B031417" w:rsidP="00F042C9">
      <w:pPr>
        <w:pStyle w:val="Student"/>
      </w:pPr>
      <w:r w:rsidRPr="00D13B67">
        <w:t>“</w:t>
      </w:r>
      <w:r w:rsidR="3E58C3DB" w:rsidRPr="00D13B67">
        <w:t>You can call me whatever you want . . . you can say whatever you want to me as long as you actually make an effort to give the accessible format and you don’t have to be perfect.</w:t>
      </w:r>
      <w:r w:rsidR="18F42DB2" w:rsidRPr="00D13B67">
        <w:t>”</w:t>
      </w:r>
    </w:p>
    <w:p w14:paraId="4E7BBCF6" w14:textId="736726BC" w:rsidR="3E58C3DB" w:rsidRPr="00D13B67" w:rsidRDefault="3E58C3DB" w:rsidP="0080241A">
      <w:pPr>
        <w:pStyle w:val="Attribution"/>
      </w:pPr>
      <w:r w:rsidRPr="00D13B67">
        <w:t xml:space="preserve">– </w:t>
      </w:r>
      <w:r w:rsidR="00F53242" w:rsidRPr="00D13B67">
        <w:t>Stella Grynspan</w:t>
      </w:r>
    </w:p>
    <w:p w14:paraId="6EE68B1C" w14:textId="44AF123B" w:rsidR="004D4C0A" w:rsidRPr="00D13B67" w:rsidRDefault="004175EF" w:rsidP="00226838">
      <w:pPr>
        <w:pStyle w:val="Heading5"/>
      </w:pPr>
      <w:r w:rsidRPr="00D13B67">
        <w:t>4.1.1.1</w:t>
      </w:r>
      <w:r w:rsidR="00226838" w:rsidRPr="00D13B67">
        <w:t>Activity</w:t>
      </w:r>
    </w:p>
    <w:p w14:paraId="39032E34" w14:textId="512EAA88" w:rsidR="002E10C3" w:rsidRPr="00D13B67" w:rsidRDefault="00BF37E1" w:rsidP="0080241A">
      <w:pPr>
        <w:pStyle w:val="Body"/>
        <w:ind w:firstLine="0"/>
      </w:pPr>
      <w:r w:rsidRPr="00D13B67">
        <w:t>Four of five</w:t>
      </w:r>
      <w:r w:rsidR="002E10C3" w:rsidRPr="00D13B67">
        <w:t xml:space="preserve"> co-designer</w:t>
      </w:r>
      <w:r w:rsidRPr="00D13B67">
        <w:t>s were</w:t>
      </w:r>
      <w:r w:rsidR="002E10C3" w:rsidRPr="00D13B67">
        <w:t xml:space="preserve"> asked </w:t>
      </w:r>
      <w:r w:rsidR="000F1B99" w:rsidRPr="00D13B67">
        <w:t>about file formats they:</w:t>
      </w:r>
    </w:p>
    <w:p w14:paraId="0CEB48C3" w14:textId="5D47A594" w:rsidR="000F1B99" w:rsidRPr="00D13B67" w:rsidRDefault="000F1B99" w:rsidP="000F1B99">
      <w:pPr>
        <w:pStyle w:val="ListParagraph"/>
        <w:numPr>
          <w:ilvl w:val="0"/>
          <w:numId w:val="16"/>
        </w:numPr>
      </w:pPr>
      <w:r w:rsidRPr="00D13B67">
        <w:lastRenderedPageBreak/>
        <w:t>Can’t use</w:t>
      </w:r>
    </w:p>
    <w:p w14:paraId="6AF875F0" w14:textId="3519663E" w:rsidR="000F1B99" w:rsidRPr="00D13B67" w:rsidRDefault="000F1B99" w:rsidP="000F1B99">
      <w:pPr>
        <w:pStyle w:val="ListParagraph"/>
        <w:numPr>
          <w:ilvl w:val="0"/>
          <w:numId w:val="16"/>
        </w:numPr>
      </w:pPr>
      <w:r w:rsidRPr="00D13B67">
        <w:t>Don’t like or have difficulty using</w:t>
      </w:r>
    </w:p>
    <w:p w14:paraId="45F69461" w14:textId="3902621D" w:rsidR="000F1B99" w:rsidRPr="00D13B67" w:rsidRDefault="000F1B99" w:rsidP="0080241A">
      <w:pPr>
        <w:pStyle w:val="ListParagraph"/>
        <w:numPr>
          <w:ilvl w:val="0"/>
          <w:numId w:val="16"/>
        </w:numPr>
        <w:spacing w:after="240"/>
      </w:pPr>
      <w:r w:rsidRPr="00D13B67">
        <w:t>Like and use</w:t>
      </w:r>
    </w:p>
    <w:p w14:paraId="510E3AD6" w14:textId="73259520" w:rsidR="00240F9A" w:rsidRDefault="00F902D3" w:rsidP="00991109">
      <w:pPr>
        <w:pStyle w:val="Body"/>
        <w:ind w:firstLine="0"/>
      </w:pPr>
      <w:r w:rsidRPr="00D13B67">
        <w:t xml:space="preserve">By combining the responses, patterns of what </w:t>
      </w:r>
      <w:r w:rsidR="002240EA" w:rsidRPr="00D13B67">
        <w:t>formats do not</w:t>
      </w:r>
      <w:r w:rsidRPr="00D13B67">
        <w:t xml:space="preserve"> work</w:t>
      </w:r>
      <w:r w:rsidR="002240EA" w:rsidRPr="00D13B67">
        <w:t xml:space="preserve"> for disabled students</w:t>
      </w:r>
      <w:r w:rsidR="00EC2423" w:rsidRPr="00D13B67">
        <w:t xml:space="preserve"> were revealed</w:t>
      </w:r>
      <w:r w:rsidR="002240EA" w:rsidRPr="00D13B67">
        <w:t xml:space="preserve">. </w:t>
      </w:r>
      <w:r w:rsidR="00052589" w:rsidRPr="00D13B67">
        <w:t xml:space="preserve">As we move to the last question, </w:t>
      </w:r>
      <w:r w:rsidR="00EC2423" w:rsidRPr="00D13B67">
        <w:t>responses</w:t>
      </w:r>
      <w:r w:rsidR="00052589" w:rsidRPr="00D13B67">
        <w:t xml:space="preserve"> reveal what</w:t>
      </w:r>
      <w:r w:rsidRPr="00D13B67">
        <w:t xml:space="preserve"> file formats worked for all co-designers</w:t>
      </w:r>
      <w:r w:rsidR="00052589" w:rsidRPr="00D13B67">
        <w:t>.</w:t>
      </w:r>
      <w:r w:rsidR="007856C4" w:rsidRPr="00D13B67">
        <w:t xml:space="preserve"> This pattern</w:t>
      </w:r>
      <w:r w:rsidR="007B747C" w:rsidRPr="00D13B67">
        <w:t xml:space="preserve"> follow</w:t>
      </w:r>
      <w:r w:rsidR="007856C4" w:rsidRPr="00D13B67">
        <w:t>s</w:t>
      </w:r>
      <w:r w:rsidR="007B747C" w:rsidRPr="00D13B67">
        <w:t xml:space="preserve"> the inclusive design principle of solving for one and extending to many (Holmes, 2018).</w:t>
      </w:r>
    </w:p>
    <w:p w14:paraId="523779D0" w14:textId="62E3BAA6" w:rsidR="00805E71" w:rsidRDefault="00805E71" w:rsidP="00805E71">
      <w:pPr>
        <w:pStyle w:val="Caption"/>
      </w:pPr>
      <w:bookmarkStart w:id="43" w:name="_Toc228868017"/>
      <w:r>
        <w:lastRenderedPageBreak/>
        <w:t xml:space="preserve">Figure </w:t>
      </w:r>
      <w:r>
        <w:fldChar w:fldCharType="begin"/>
      </w:r>
      <w:r>
        <w:instrText xml:space="preserve"> SEQ Figure \* ARABIC </w:instrText>
      </w:r>
      <w:r>
        <w:fldChar w:fldCharType="separate"/>
      </w:r>
      <w:r>
        <w:rPr>
          <w:noProof/>
        </w:rPr>
        <w:t>1</w:t>
      </w:r>
      <w:r>
        <w:fldChar w:fldCharType="end"/>
      </w:r>
      <w:r>
        <w:t xml:space="preserve">: </w:t>
      </w:r>
      <w:r w:rsidRPr="000F28BF">
        <w:t>Diagram of co-designers’ perceptions of various file formats</w:t>
      </w:r>
      <w:bookmarkEnd w:id="43"/>
    </w:p>
    <w:p w14:paraId="638DFDB2" w14:textId="3FBC3DDE" w:rsidR="00991109" w:rsidRPr="00D13B67" w:rsidRDefault="00805E71" w:rsidP="00991109">
      <w:pPr>
        <w:pStyle w:val="Body"/>
        <w:ind w:firstLine="0"/>
      </w:pPr>
      <w:r>
        <w:rPr>
          <w:noProof/>
        </w:rPr>
        <w:drawing>
          <wp:inline distT="0" distB="0" distL="0" distR="0" wp14:anchorId="339E33DB" wp14:editId="3EB943CF">
            <wp:extent cx="5943600" cy="5943600"/>
            <wp:effectExtent l="0" t="0" r="0" b="0"/>
            <wp:docPr id="153053766" name="Picture 2" descr="P36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3766" name="Picture 2" descr="P369#yIS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C47965D" w14:textId="0B0B4D97" w:rsidR="00240F9A" w:rsidRPr="00D13B67" w:rsidRDefault="00240F9A" w:rsidP="00EC2423">
      <w:pPr>
        <w:pStyle w:val="Caption"/>
        <w:spacing w:after="240"/>
      </w:pPr>
      <w:bookmarkStart w:id="44" w:name="_Toc228868023"/>
      <w:r w:rsidRPr="00D13B67">
        <w:t xml:space="preserve">Table </w:t>
      </w:r>
      <w:r w:rsidR="00C64581" w:rsidRPr="00D13B67">
        <w:fldChar w:fldCharType="begin"/>
      </w:r>
      <w:r w:rsidR="00C64581" w:rsidRPr="00D13B67">
        <w:instrText xml:space="preserve"> SEQ Table \* ARABIC </w:instrText>
      </w:r>
      <w:r w:rsidR="00C64581" w:rsidRPr="00D13B67">
        <w:fldChar w:fldCharType="separate"/>
      </w:r>
      <w:r w:rsidR="00C64581" w:rsidRPr="00D13B67">
        <w:rPr>
          <w:noProof/>
        </w:rPr>
        <w:t>1</w:t>
      </w:r>
      <w:r w:rsidR="00C64581" w:rsidRPr="00D13B67">
        <w:rPr>
          <w:noProof/>
        </w:rPr>
        <w:fldChar w:fldCharType="end"/>
      </w:r>
      <w:r w:rsidRPr="00D13B67">
        <w:t>: Co-designers perceptions of various file formats</w:t>
      </w:r>
      <w:bookmarkEnd w:id="44"/>
    </w:p>
    <w:tbl>
      <w:tblPr>
        <w:tblStyle w:val="TableGrid"/>
        <w:tblW w:w="0" w:type="auto"/>
        <w:tblLook w:val="04A0" w:firstRow="1" w:lastRow="0" w:firstColumn="1" w:lastColumn="0" w:noHBand="0" w:noVBand="1"/>
      </w:tblPr>
      <w:tblGrid>
        <w:gridCol w:w="1696"/>
        <w:gridCol w:w="2551"/>
        <w:gridCol w:w="2551"/>
        <w:gridCol w:w="2552"/>
      </w:tblGrid>
      <w:tr w:rsidR="00572240" w:rsidRPr="00D13B67" w14:paraId="14849A7E" w14:textId="77777777" w:rsidTr="009900A9">
        <w:trPr>
          <w:tblHeader/>
        </w:trPr>
        <w:tc>
          <w:tcPr>
            <w:tcW w:w="1696" w:type="dxa"/>
            <w:noWrap/>
          </w:tcPr>
          <w:p w14:paraId="73F33097" w14:textId="01114AB0" w:rsidR="00572240" w:rsidRPr="00D13B67" w:rsidRDefault="00B37BDC" w:rsidP="00BF37E1">
            <w:pPr>
              <w:rPr>
                <w:b/>
                <w:bCs/>
              </w:rPr>
            </w:pPr>
            <w:r w:rsidRPr="00D13B67">
              <w:rPr>
                <w:b/>
                <w:bCs/>
              </w:rPr>
              <w:t>Student</w:t>
            </w:r>
          </w:p>
        </w:tc>
        <w:tc>
          <w:tcPr>
            <w:tcW w:w="2551" w:type="dxa"/>
            <w:noWrap/>
          </w:tcPr>
          <w:p w14:paraId="539C13E7" w14:textId="150E4391" w:rsidR="00572240" w:rsidRPr="00D13B67" w:rsidRDefault="00B37BDC" w:rsidP="00BF37E1">
            <w:pPr>
              <w:rPr>
                <w:b/>
                <w:bCs/>
              </w:rPr>
            </w:pPr>
            <w:r w:rsidRPr="00D13B67">
              <w:rPr>
                <w:b/>
                <w:bCs/>
              </w:rPr>
              <w:t>Can’t use</w:t>
            </w:r>
          </w:p>
        </w:tc>
        <w:tc>
          <w:tcPr>
            <w:tcW w:w="2551" w:type="dxa"/>
            <w:noWrap/>
          </w:tcPr>
          <w:p w14:paraId="25B47949" w14:textId="17D8CF3F" w:rsidR="00572240" w:rsidRPr="00D13B67" w:rsidRDefault="00B37BDC" w:rsidP="00BF37E1">
            <w:pPr>
              <w:rPr>
                <w:b/>
                <w:bCs/>
              </w:rPr>
            </w:pPr>
            <w:r w:rsidRPr="00D13B67">
              <w:rPr>
                <w:b/>
                <w:bCs/>
              </w:rPr>
              <w:t>Don’t like or have difficulty using</w:t>
            </w:r>
          </w:p>
        </w:tc>
        <w:tc>
          <w:tcPr>
            <w:tcW w:w="2552" w:type="dxa"/>
            <w:noWrap/>
          </w:tcPr>
          <w:p w14:paraId="179D9C5F" w14:textId="364B7B95" w:rsidR="00572240" w:rsidRPr="00D13B67" w:rsidRDefault="00B37BDC" w:rsidP="00BF37E1">
            <w:pPr>
              <w:rPr>
                <w:b/>
                <w:bCs/>
              </w:rPr>
            </w:pPr>
            <w:r w:rsidRPr="00D13B67">
              <w:rPr>
                <w:b/>
                <w:bCs/>
              </w:rPr>
              <w:t>Like and use</w:t>
            </w:r>
          </w:p>
        </w:tc>
      </w:tr>
      <w:tr w:rsidR="00572240" w:rsidRPr="00D13B67" w14:paraId="59A6F019" w14:textId="77777777" w:rsidTr="00240F9A">
        <w:tc>
          <w:tcPr>
            <w:tcW w:w="1696" w:type="dxa"/>
          </w:tcPr>
          <w:p w14:paraId="3E278D2B" w14:textId="23E629FC" w:rsidR="00572240" w:rsidRPr="00D13B67" w:rsidRDefault="00B37BDC" w:rsidP="00BF37E1">
            <w:r w:rsidRPr="00D13B67">
              <w:t>Matt McLeod</w:t>
            </w:r>
          </w:p>
        </w:tc>
        <w:tc>
          <w:tcPr>
            <w:tcW w:w="2551" w:type="dxa"/>
          </w:tcPr>
          <w:p w14:paraId="0E5F89B5" w14:textId="44B7800A" w:rsidR="00572240" w:rsidRPr="00D13B67" w:rsidRDefault="00B37BDC" w:rsidP="00BF37E1">
            <w:r w:rsidRPr="00D13B67">
              <w:t>Print textbooks</w:t>
            </w:r>
          </w:p>
        </w:tc>
        <w:tc>
          <w:tcPr>
            <w:tcW w:w="2551" w:type="dxa"/>
          </w:tcPr>
          <w:p w14:paraId="0232AB7E" w14:textId="1CA8665B" w:rsidR="00572240" w:rsidRPr="00D13B67" w:rsidRDefault="00B37BDC" w:rsidP="00BF37E1">
            <w:r w:rsidRPr="00D13B67">
              <w:t xml:space="preserve">Copy protected </w:t>
            </w:r>
            <w:proofErr w:type="spellStart"/>
            <w:r w:rsidRPr="00D13B67">
              <w:t>eTextbooks</w:t>
            </w:r>
            <w:proofErr w:type="spellEnd"/>
            <w:r w:rsidRPr="00D13B67">
              <w:t>; Publisher platforms that don’t work with assistive technology</w:t>
            </w:r>
          </w:p>
        </w:tc>
        <w:tc>
          <w:tcPr>
            <w:tcW w:w="2552" w:type="dxa"/>
          </w:tcPr>
          <w:p w14:paraId="6CE99FDE" w14:textId="1BB5A05C" w:rsidR="00572240" w:rsidRPr="00D13B67" w:rsidRDefault="00B37BDC" w:rsidP="00BF37E1">
            <w:r w:rsidRPr="00D13B67">
              <w:t>PDFs, even if they aren’t perfect; Pirated content; Word and web content</w:t>
            </w:r>
          </w:p>
        </w:tc>
      </w:tr>
      <w:tr w:rsidR="00572240" w:rsidRPr="00D13B67" w14:paraId="7C8EE764" w14:textId="77777777" w:rsidTr="00240F9A">
        <w:tc>
          <w:tcPr>
            <w:tcW w:w="1696" w:type="dxa"/>
          </w:tcPr>
          <w:p w14:paraId="7455E7CA" w14:textId="03EFED02" w:rsidR="00572240" w:rsidRPr="00D13B67" w:rsidRDefault="00BF37E1" w:rsidP="00BF37E1">
            <w:r w:rsidRPr="00D13B67">
              <w:lastRenderedPageBreak/>
              <w:t>Soma Ali</w:t>
            </w:r>
          </w:p>
        </w:tc>
        <w:tc>
          <w:tcPr>
            <w:tcW w:w="2551" w:type="dxa"/>
          </w:tcPr>
          <w:p w14:paraId="1EAA2220" w14:textId="4AE5B3A9" w:rsidR="00572240" w:rsidRPr="00D13B67" w:rsidRDefault="00BF37E1" w:rsidP="00BF37E1">
            <w:r w:rsidRPr="00D13B67">
              <w:t>PDFs (must be sent for remediation); Sometimes read some text but often nonsense and out order, worst case is ‘blank document’</w:t>
            </w:r>
          </w:p>
        </w:tc>
        <w:tc>
          <w:tcPr>
            <w:tcW w:w="2551" w:type="dxa"/>
          </w:tcPr>
          <w:p w14:paraId="7FEBF51F" w14:textId="62DF126B" w:rsidR="00572240" w:rsidRPr="00D13B67" w:rsidRDefault="00BF37E1" w:rsidP="00BF37E1">
            <w:r w:rsidRPr="00D13B67">
              <w:t xml:space="preserve">Many </w:t>
            </w:r>
            <w:proofErr w:type="spellStart"/>
            <w:r w:rsidRPr="00D13B67">
              <w:t>eTextbooks</w:t>
            </w:r>
            <w:proofErr w:type="spellEnd"/>
            <w:r w:rsidRPr="00D13B67">
              <w:t xml:space="preserve"> don’t work well with needed software</w:t>
            </w:r>
          </w:p>
        </w:tc>
        <w:tc>
          <w:tcPr>
            <w:tcW w:w="2552" w:type="dxa"/>
          </w:tcPr>
          <w:p w14:paraId="1A279BC0" w14:textId="6096A295" w:rsidR="00572240" w:rsidRPr="00D13B67" w:rsidRDefault="00BF37E1" w:rsidP="00BF37E1">
            <w:r w:rsidRPr="00D13B67">
              <w:t>Word (works with JAWS) for reading, writing, and formatting</w:t>
            </w:r>
          </w:p>
        </w:tc>
      </w:tr>
      <w:tr w:rsidR="00BF37E1" w:rsidRPr="00D13B67" w14:paraId="002EA3DC" w14:textId="77777777" w:rsidTr="00240F9A">
        <w:tc>
          <w:tcPr>
            <w:tcW w:w="1696" w:type="dxa"/>
          </w:tcPr>
          <w:p w14:paraId="114FF4F2" w14:textId="62F4C3FE" w:rsidR="00BF37E1" w:rsidRPr="00D13B67" w:rsidRDefault="00BF37E1" w:rsidP="00BF37E1">
            <w:r w:rsidRPr="00D13B67">
              <w:t>Soma Ali</w:t>
            </w:r>
          </w:p>
        </w:tc>
        <w:tc>
          <w:tcPr>
            <w:tcW w:w="2551" w:type="dxa"/>
          </w:tcPr>
          <w:p w14:paraId="4374A6EE" w14:textId="5AE596AA" w:rsidR="00BF37E1" w:rsidRPr="00D13B67" w:rsidRDefault="00BF37E1" w:rsidP="00BF37E1">
            <w:r w:rsidRPr="00D13B67">
              <w:t>Videos without transcripts; slides without description</w:t>
            </w:r>
          </w:p>
        </w:tc>
        <w:tc>
          <w:tcPr>
            <w:tcW w:w="2551" w:type="dxa"/>
          </w:tcPr>
          <w:p w14:paraId="6D34C915" w14:textId="618B1EE6" w:rsidR="00BF37E1" w:rsidRPr="00D13B67" w:rsidRDefault="00BF37E1" w:rsidP="00BF37E1">
            <w:r w:rsidRPr="00D13B67">
              <w:t>PowerPoints without visual description; content with poor/non-existent image descriptions</w:t>
            </w:r>
          </w:p>
        </w:tc>
        <w:tc>
          <w:tcPr>
            <w:tcW w:w="2552" w:type="dxa"/>
          </w:tcPr>
          <w:p w14:paraId="1D13158E" w14:textId="028DA59B" w:rsidR="00BF37E1" w:rsidRPr="00D13B67" w:rsidRDefault="00BF37E1" w:rsidP="00BF37E1">
            <w:r w:rsidRPr="00D13B67">
              <w:t>Word and web content for text heavy; PDF ok when created properly; Prefers plain text documents with essential information.</w:t>
            </w:r>
          </w:p>
        </w:tc>
      </w:tr>
      <w:tr w:rsidR="00BF37E1" w:rsidRPr="00D13B67" w14:paraId="68C506CB" w14:textId="77777777" w:rsidTr="00240F9A">
        <w:tc>
          <w:tcPr>
            <w:tcW w:w="1696" w:type="dxa"/>
          </w:tcPr>
          <w:p w14:paraId="1850D60A" w14:textId="419A65EE" w:rsidR="00BF37E1" w:rsidRPr="00D13B67" w:rsidRDefault="00BF37E1" w:rsidP="00BF37E1">
            <w:r w:rsidRPr="00D13B67">
              <w:t>Lila McKinlay</w:t>
            </w:r>
          </w:p>
        </w:tc>
        <w:tc>
          <w:tcPr>
            <w:tcW w:w="2551" w:type="dxa"/>
          </w:tcPr>
          <w:p w14:paraId="702FEA10" w14:textId="79A3E806" w:rsidR="00BF37E1" w:rsidRPr="00D13B67" w:rsidRDefault="00BF37E1" w:rsidP="00BF37E1">
            <w:r w:rsidRPr="00D13B67">
              <w:t>Article and book scans; Invisible bait text (to ‘catch’ AI use)</w:t>
            </w:r>
          </w:p>
        </w:tc>
        <w:tc>
          <w:tcPr>
            <w:tcW w:w="2551" w:type="dxa"/>
          </w:tcPr>
          <w:p w14:paraId="79336B5D" w14:textId="11C4D80B" w:rsidR="00BF37E1" w:rsidRPr="00D13B67" w:rsidRDefault="00BF37E1" w:rsidP="00BF37E1">
            <w:r w:rsidRPr="00D13B67">
              <w:t>“Accessible” PDFs to split into digestible pieces (too large crashes software)</w:t>
            </w:r>
          </w:p>
        </w:tc>
        <w:tc>
          <w:tcPr>
            <w:tcW w:w="2552" w:type="dxa"/>
          </w:tcPr>
          <w:p w14:paraId="44AAD548" w14:textId="36B2DD95" w:rsidR="00BF37E1" w:rsidRPr="00D13B67" w:rsidRDefault="00BF37E1" w:rsidP="00BF37E1">
            <w:r w:rsidRPr="00D13B67">
              <w:t>PowerPoint, Word documents, plain text</w:t>
            </w:r>
          </w:p>
        </w:tc>
      </w:tr>
      <w:tr w:rsidR="00BF37E1" w:rsidRPr="00D13B67" w14:paraId="79551ED5" w14:textId="77777777" w:rsidTr="00240F9A">
        <w:tc>
          <w:tcPr>
            <w:tcW w:w="1696" w:type="dxa"/>
          </w:tcPr>
          <w:p w14:paraId="69A27934" w14:textId="1CB139F6" w:rsidR="00BF37E1" w:rsidRPr="00D13B67" w:rsidRDefault="00BF37E1" w:rsidP="00BF37E1">
            <w:r w:rsidRPr="00D13B67">
              <w:t>Stella Grynspan</w:t>
            </w:r>
          </w:p>
        </w:tc>
        <w:tc>
          <w:tcPr>
            <w:tcW w:w="2551" w:type="dxa"/>
          </w:tcPr>
          <w:p w14:paraId="1910A978" w14:textId="22C77319" w:rsidR="00BF37E1" w:rsidRPr="00D13B67" w:rsidRDefault="00BF37E1" w:rsidP="00BF37E1">
            <w:r w:rsidRPr="00D13B67">
              <w:t>Multi-sensory interactives that are incompatible with assistive technology</w:t>
            </w:r>
          </w:p>
        </w:tc>
        <w:tc>
          <w:tcPr>
            <w:tcW w:w="2551" w:type="dxa"/>
          </w:tcPr>
          <w:p w14:paraId="2F421173" w14:textId="5397F278" w:rsidR="00BF37E1" w:rsidRPr="00D13B67" w:rsidRDefault="00BF37E1" w:rsidP="00BF37E1">
            <w:r w:rsidRPr="00D13B67">
              <w:t xml:space="preserve">Inaccessible </w:t>
            </w:r>
            <w:proofErr w:type="spellStart"/>
            <w:r w:rsidRPr="00D13B67">
              <w:t>eTextbooks</w:t>
            </w:r>
            <w:proofErr w:type="spellEnd"/>
          </w:p>
        </w:tc>
        <w:tc>
          <w:tcPr>
            <w:tcW w:w="2552" w:type="dxa"/>
          </w:tcPr>
          <w:p w14:paraId="14A42CBE" w14:textId="3089B910" w:rsidR="00BF37E1" w:rsidRPr="00D13B67" w:rsidRDefault="00BF37E1" w:rsidP="00BF37E1">
            <w:r w:rsidRPr="00D13B67">
              <w:t>Word, web content with essential information in text.</w:t>
            </w:r>
          </w:p>
        </w:tc>
      </w:tr>
    </w:tbl>
    <w:p w14:paraId="41869356" w14:textId="423D1F45" w:rsidR="000A3194" w:rsidRPr="00D13B67" w:rsidRDefault="00283F11" w:rsidP="00202BC3">
      <w:pPr>
        <w:pStyle w:val="Body"/>
        <w:spacing w:before="240"/>
      </w:pPr>
      <w:r w:rsidRPr="00D13B67">
        <w:t xml:space="preserve">Based on this exercise, Word documents </w:t>
      </w:r>
      <w:r w:rsidR="000D1275" w:rsidRPr="00D13B67">
        <w:t xml:space="preserve">were liked and used by all co-designers. Web content was mentioned by 3 out 5 as a format they like and can use. </w:t>
      </w:r>
      <w:r w:rsidRPr="00D13B67">
        <w:t xml:space="preserve">All </w:t>
      </w:r>
      <w:r w:rsidR="00CD485C" w:rsidRPr="00D13B67">
        <w:t>students</w:t>
      </w:r>
      <w:r w:rsidRPr="00D13B67">
        <w:t xml:space="preserve"> used at least one</w:t>
      </w:r>
      <w:r w:rsidR="00B71055" w:rsidRPr="00D13B67">
        <w:t xml:space="preserve"> of those formats. While one student </w:t>
      </w:r>
      <w:r w:rsidR="00B60399" w:rsidRPr="00D13B67">
        <w:t xml:space="preserve">indicated they liked PDFs, this was </w:t>
      </w:r>
      <w:r w:rsidR="000D1275" w:rsidRPr="00D13B67">
        <w:t>as opposed</w:t>
      </w:r>
      <w:r w:rsidR="00B60399" w:rsidRPr="00D13B67">
        <w:t xml:space="preserve"> to </w:t>
      </w:r>
      <w:r w:rsidR="00C360B4" w:rsidRPr="00D13B67">
        <w:t>DRM</w:t>
      </w:r>
      <w:r w:rsidR="00B60399" w:rsidRPr="00D13B67">
        <w:t xml:space="preserve"> locked publisher platforms. </w:t>
      </w:r>
    </w:p>
    <w:p w14:paraId="0AB0C886" w14:textId="2490EBC1" w:rsidR="00DE7B6A" w:rsidRPr="00D13B67" w:rsidRDefault="004175EF" w:rsidP="00DE7B6A">
      <w:pPr>
        <w:pStyle w:val="Heading4"/>
      </w:pPr>
      <w:bookmarkStart w:id="45" w:name="_Toc228867998"/>
      <w:r w:rsidRPr="00D13B67">
        <w:t xml:space="preserve">4.1.2 </w:t>
      </w:r>
      <w:r w:rsidR="00DE7B6A" w:rsidRPr="00D13B67">
        <w:t>Time</w:t>
      </w:r>
      <w:bookmarkEnd w:id="45"/>
    </w:p>
    <w:p w14:paraId="6C409A3C" w14:textId="6D74F3A8" w:rsidR="00863052" w:rsidRPr="00D13B67" w:rsidRDefault="00710668" w:rsidP="0080241A">
      <w:pPr>
        <w:pStyle w:val="Body"/>
      </w:pPr>
      <w:r w:rsidRPr="00D13B67">
        <w:t>All students mentioned time</w:t>
      </w:r>
      <w:r w:rsidR="00BA7B60" w:rsidRPr="00D13B67">
        <w:t xml:space="preserve">, specifically how much time is required for schoolwork and related tasks. Each student </w:t>
      </w:r>
      <w:r w:rsidR="00BA1FE3" w:rsidRPr="00D13B67">
        <w:t xml:space="preserve">mentioned the impact of inaccessible content as a </w:t>
      </w:r>
      <w:r w:rsidR="00BA1FE3" w:rsidRPr="00D13B67">
        <w:lastRenderedPageBreak/>
        <w:t xml:space="preserve">significant burden </w:t>
      </w:r>
      <w:r w:rsidR="0027203E" w:rsidRPr="00D13B67">
        <w:t xml:space="preserve">that requires </w:t>
      </w:r>
      <w:r w:rsidR="009E2A89" w:rsidRPr="00D13B67">
        <w:t>additional</w:t>
      </w:r>
      <w:r w:rsidR="0027203E" w:rsidRPr="00D13B67">
        <w:t xml:space="preserve"> time to work around.</w:t>
      </w:r>
      <w:r w:rsidR="00BA1FE3" w:rsidRPr="00D13B67">
        <w:t xml:space="preserve"> </w:t>
      </w:r>
      <w:r w:rsidR="00863052" w:rsidRPr="00D13B67">
        <w:t xml:space="preserve">When asked how long it takes to find content in formats that work with his assistive technology, </w:t>
      </w:r>
      <w:r w:rsidR="0027203E" w:rsidRPr="00D13B67">
        <w:t>Matt</w:t>
      </w:r>
      <w:r w:rsidR="00863052" w:rsidRPr="00D13B67">
        <w:t xml:space="preserve"> stated:</w:t>
      </w:r>
    </w:p>
    <w:p w14:paraId="0569DB2C" w14:textId="77777777" w:rsidR="00DE7B6A" w:rsidRPr="00D13B67" w:rsidRDefault="00863052" w:rsidP="00F042C9">
      <w:pPr>
        <w:pStyle w:val="Student"/>
      </w:pPr>
      <w:r w:rsidRPr="00D13B67">
        <w:t>“Maybe 10 minutes now, right? And just in contrast to 15 seconds if it were in a format that were accessible.”</w:t>
      </w:r>
    </w:p>
    <w:p w14:paraId="726C1AB7" w14:textId="77777777" w:rsidR="0027203E" w:rsidRPr="00D13B67" w:rsidRDefault="0027203E" w:rsidP="0080241A"/>
    <w:p w14:paraId="1BBDDF25" w14:textId="49357803" w:rsidR="00863052" w:rsidRPr="00D13B67" w:rsidRDefault="0027203E" w:rsidP="0080241A">
      <w:pPr>
        <w:pStyle w:val="Body"/>
      </w:pPr>
      <w:r w:rsidRPr="00D13B67">
        <w:t>Soma, who uses a screen reader, noted that readings take her significantly longer</w:t>
      </w:r>
      <w:r w:rsidR="009136F7" w:rsidRPr="00D13B67">
        <w:t xml:space="preserve"> than other students</w:t>
      </w:r>
      <w:r w:rsidRPr="00D13B67">
        <w:t xml:space="preserve">: </w:t>
      </w:r>
      <w:r w:rsidR="00863052" w:rsidRPr="00D13B67">
        <w:t xml:space="preserve">“a sighted student could take maybe one or two hours. I take up to </w:t>
      </w:r>
      <w:r w:rsidR="009136F7" w:rsidRPr="00D13B67">
        <w:t>four to five</w:t>
      </w:r>
      <w:r w:rsidR="00863052" w:rsidRPr="00D13B67">
        <w:t xml:space="preserve"> hours to do </w:t>
      </w:r>
      <w:r w:rsidR="009136F7" w:rsidRPr="00D13B67">
        <w:t>one</w:t>
      </w:r>
      <w:r w:rsidR="00863052" w:rsidRPr="00D13B67">
        <w:t xml:space="preserve"> assignment or read a chapter.”</w:t>
      </w:r>
      <w:r w:rsidR="00031395" w:rsidRPr="00D13B67">
        <w:t xml:space="preserve"> That is if the content is accessible. If content needs to be remediated, Soma must wait even longer. </w:t>
      </w:r>
      <w:r w:rsidR="00DB7E8C" w:rsidRPr="00D13B67">
        <w:t>Having to wait for access puts disabled students at a disadvantage.</w:t>
      </w:r>
      <w:r w:rsidR="00031395" w:rsidRPr="00D13B67">
        <w:t xml:space="preserve"> </w:t>
      </w:r>
    </w:p>
    <w:p w14:paraId="34435462" w14:textId="2A32C405" w:rsidR="00863052" w:rsidRPr="00D13B67" w:rsidRDefault="00863052" w:rsidP="0080241A">
      <w:pPr>
        <w:pStyle w:val="Body"/>
      </w:pPr>
      <w:r w:rsidRPr="00D13B67">
        <w:t>Students noted how time spent finding accessible content or converting inaccessible content ate into the time needed to do the actual work</w:t>
      </w:r>
      <w:r w:rsidR="0027203E" w:rsidRPr="00D13B67">
        <w:t xml:space="preserve">. A former Langara and current UBC student emphasized this point, </w:t>
      </w:r>
      <w:r w:rsidR="00F17D27" w:rsidRPr="00D13B67">
        <w:t>revealing that “t</w:t>
      </w:r>
      <w:r w:rsidRPr="00D13B67">
        <w:t xml:space="preserve">he time and stress involved with accessing and using the technological aspects of the courses was actually very huge. </w:t>
      </w:r>
      <w:r w:rsidR="008266FA" w:rsidRPr="00D13B67">
        <w:t>It</w:t>
      </w:r>
      <w:r w:rsidRPr="00D13B67">
        <w:t xml:space="preserve"> was</w:t>
      </w:r>
      <w:r w:rsidR="008266FA" w:rsidRPr="00D13B67">
        <w:t xml:space="preserve"> </w:t>
      </w:r>
      <w:r w:rsidRPr="00D13B67">
        <w:t>.</w:t>
      </w:r>
      <w:r w:rsidR="008266FA" w:rsidRPr="00D13B67">
        <w:t xml:space="preserve"> . .</w:t>
      </w:r>
      <w:r w:rsidRPr="00D13B67">
        <w:t xml:space="preserve"> almost 50-50.”</w:t>
      </w:r>
      <w:r w:rsidR="00F17D27" w:rsidRPr="00D13B67">
        <w:t xml:space="preserve"> </w:t>
      </w:r>
      <w:r w:rsidR="00395347" w:rsidRPr="00D13B67">
        <w:t>This student is not alone in their feelings;</w:t>
      </w:r>
      <w:r w:rsidR="00F17D27" w:rsidRPr="00D13B67">
        <w:t xml:space="preserve"> </w:t>
      </w:r>
      <w:r w:rsidR="00DD2096" w:rsidRPr="00D13B67">
        <w:t xml:space="preserve">McGregor et al.’s 2016 study found that disabled students </w:t>
      </w:r>
      <w:r w:rsidR="00311EDB" w:rsidRPr="00D13B67">
        <w:t xml:space="preserve">faced significant obstacles caused by non-academic responsibilities. </w:t>
      </w:r>
      <w:r w:rsidR="00700C9F" w:rsidRPr="00D13B67">
        <w:t>Stella also noted how having to create her own accessible version</w:t>
      </w:r>
      <w:r w:rsidR="00395347" w:rsidRPr="00D13B67">
        <w:t>s</w:t>
      </w:r>
      <w:r w:rsidR="00700C9F" w:rsidRPr="00D13B67">
        <w:t xml:space="preserve"> of content cost her an incredible amount of time. </w:t>
      </w:r>
    </w:p>
    <w:p w14:paraId="74C2B4CE" w14:textId="77777777" w:rsidR="00D73F36" w:rsidRPr="00D13B67" w:rsidRDefault="00D73F36" w:rsidP="00F042C9">
      <w:pPr>
        <w:pStyle w:val="Student"/>
      </w:pPr>
      <w:r w:rsidRPr="00D13B67">
        <w:t xml:space="preserve">“It took me two hours for something that it would take a student without accessibility needs 15 minutes because I had to relisten to my teachers saying it </w:t>
      </w:r>
      <w:proofErr w:type="gramStart"/>
      <w:r w:rsidRPr="00D13B67">
        <w:t>over and over again</w:t>
      </w:r>
      <w:proofErr w:type="gramEnd"/>
      <w:r w:rsidRPr="00D13B67">
        <w:t xml:space="preserve"> so I could draw it out and put into an accessible format. And then I had to figure out how I put that into an accessible format.”</w:t>
      </w:r>
    </w:p>
    <w:p w14:paraId="6C9F3F70" w14:textId="2CAD97CC" w:rsidR="00D73F36" w:rsidRPr="00D13B67" w:rsidRDefault="00D73F36" w:rsidP="0080241A">
      <w:pPr>
        <w:pStyle w:val="Attribution"/>
      </w:pPr>
      <w:r w:rsidRPr="00D13B67">
        <w:t xml:space="preserve">– </w:t>
      </w:r>
      <w:r w:rsidR="00550CA0" w:rsidRPr="00D13B67">
        <w:t>Stella Grynspan</w:t>
      </w:r>
    </w:p>
    <w:p w14:paraId="77314F56" w14:textId="1AF80C91" w:rsidR="00700C9F" w:rsidRPr="00D13B67" w:rsidRDefault="00E3716C" w:rsidP="0080241A">
      <w:pPr>
        <w:pStyle w:val="Body"/>
      </w:pPr>
      <w:r w:rsidRPr="00D13B67">
        <w:t>Students often framed their experience relative to their peers.</w:t>
      </w:r>
    </w:p>
    <w:p w14:paraId="3451AE97" w14:textId="45239271" w:rsidR="00D73F36" w:rsidRPr="00D13B67" w:rsidRDefault="00D73F36" w:rsidP="00F042C9">
      <w:pPr>
        <w:pStyle w:val="Student"/>
      </w:pPr>
      <w:r w:rsidRPr="00D13B67">
        <w:lastRenderedPageBreak/>
        <w:t>“[Another student], it takes 2 hours. Okay, you’re someone with a disability, it already will maybe take you a bit longer just because of that, and then you’re having to add on another hour or two just to try to access it.”</w:t>
      </w:r>
    </w:p>
    <w:p w14:paraId="3CA396EB" w14:textId="38D61E69" w:rsidR="00D73F36" w:rsidRPr="00D13B67" w:rsidRDefault="00D73F36" w:rsidP="0080241A">
      <w:pPr>
        <w:pStyle w:val="Attribution"/>
      </w:pPr>
      <w:r w:rsidRPr="00D13B67">
        <w:t xml:space="preserve">– </w:t>
      </w:r>
      <w:r w:rsidR="00966D87" w:rsidRPr="00D13B67">
        <w:t>Lila McKinlay</w:t>
      </w:r>
    </w:p>
    <w:p w14:paraId="6AE19AD2" w14:textId="7579DDE7" w:rsidR="00D73F36" w:rsidRPr="00D13B67" w:rsidRDefault="00D73F36" w:rsidP="00AB62C3">
      <w:pPr>
        <w:pStyle w:val="Body"/>
        <w:ind w:firstLine="0"/>
      </w:pPr>
      <w:r w:rsidRPr="00D13B67">
        <w:t xml:space="preserve">When asked “Do you think people know [how long things take]?”, </w:t>
      </w:r>
      <w:r w:rsidR="00E3716C" w:rsidRPr="00D13B67">
        <w:t>Matt</w:t>
      </w:r>
      <w:r w:rsidRPr="00D13B67">
        <w:t xml:space="preserve"> replied:</w:t>
      </w:r>
    </w:p>
    <w:p w14:paraId="6BFD683E" w14:textId="77777777" w:rsidR="00D73F36" w:rsidRPr="00D13B67" w:rsidRDefault="00D73F36" w:rsidP="00F042C9">
      <w:pPr>
        <w:pStyle w:val="Student"/>
      </w:pPr>
      <w:r w:rsidRPr="00D13B67">
        <w:t>“No, no one. No one has a clue.”</w:t>
      </w:r>
    </w:p>
    <w:p w14:paraId="6923F7F5" w14:textId="77777777" w:rsidR="00E3716C" w:rsidRPr="00D13B67" w:rsidRDefault="00E3716C" w:rsidP="0080241A"/>
    <w:p w14:paraId="3530A708" w14:textId="52915F12" w:rsidR="00D73F36" w:rsidRPr="00D13B67" w:rsidRDefault="00D73F36" w:rsidP="0080241A">
      <w:pPr>
        <w:pStyle w:val="Body"/>
      </w:pPr>
      <w:r w:rsidRPr="00D13B67">
        <w:t xml:space="preserve">Choosing and creating inaccessible learning </w:t>
      </w:r>
      <w:r w:rsidR="00E3716C" w:rsidRPr="00D13B67">
        <w:t>material</w:t>
      </w:r>
      <w:r w:rsidRPr="00D13B67">
        <w:t xml:space="preserve"> places unfair burden</w:t>
      </w:r>
      <w:r w:rsidR="00AB62C3" w:rsidRPr="00D13B67">
        <w:t>s</w:t>
      </w:r>
      <w:r w:rsidRPr="00D13B67">
        <w:t xml:space="preserve"> of additional time, stress, and labour on students. On top of life, school, and other demands students have on their time, inaccessible content forces </w:t>
      </w:r>
      <w:r w:rsidR="00DF7247" w:rsidRPr="00D13B67">
        <w:t xml:space="preserve">disabled </w:t>
      </w:r>
      <w:r w:rsidRPr="00D13B67">
        <w:t>students to commit extra hours every week to finding or converting material. Or they may just end up being excluded.</w:t>
      </w:r>
    </w:p>
    <w:p w14:paraId="2684A3D1" w14:textId="4A8801C6" w:rsidR="00D73F36" w:rsidRPr="00D13B67" w:rsidRDefault="00D73F36" w:rsidP="0080241A">
      <w:pPr>
        <w:pStyle w:val="Body"/>
      </w:pPr>
      <w:r w:rsidRPr="00D13B67">
        <w:t>Several students noted the time needed to develop</w:t>
      </w:r>
      <w:r w:rsidR="005B5815">
        <w:t xml:space="preserve"> their own</w:t>
      </w:r>
      <w:r w:rsidRPr="00D13B67">
        <w:t xml:space="preserve"> </w:t>
      </w:r>
      <w:r w:rsidR="005B5815">
        <w:t>methods</w:t>
      </w:r>
      <w:r w:rsidRPr="00D13B67">
        <w:t xml:space="preserve"> to effectively operate in an inaccessible system.</w:t>
      </w:r>
    </w:p>
    <w:p w14:paraId="498D4E75" w14:textId="2DF904AA" w:rsidR="00D73F36" w:rsidRPr="00D13B67" w:rsidRDefault="00D73F36" w:rsidP="00F042C9">
      <w:pPr>
        <w:pStyle w:val="Student"/>
      </w:pPr>
      <w:r w:rsidRPr="00D13B67">
        <w:t>“</w:t>
      </w:r>
      <w:proofErr w:type="gramStart"/>
      <w:r w:rsidRPr="00D13B67">
        <w:t>So</w:t>
      </w:r>
      <w:proofErr w:type="gramEnd"/>
      <w:r w:rsidRPr="00D13B67">
        <w:t xml:space="preserve"> I’m literally, like, it’s hours upon hours of trying to, like, learn how to</w:t>
      </w:r>
      <w:r w:rsidR="00AB62C3" w:rsidRPr="00D13B67">
        <w:t xml:space="preserve"> </w:t>
      </w:r>
      <w:r w:rsidRPr="00D13B67">
        <w:t xml:space="preserve">. . . use workarounds, background, blah blah blah. And </w:t>
      </w:r>
      <w:proofErr w:type="gramStart"/>
      <w:r w:rsidRPr="00D13B67">
        <w:t>so</w:t>
      </w:r>
      <w:proofErr w:type="gramEnd"/>
      <w:r w:rsidRPr="00D13B67">
        <w:t xml:space="preserve"> it’s like, oh, maybe the next semester it’ll be a little bit better, because I’ve learned that, but then there’s inevitably kind of another issue.”</w:t>
      </w:r>
    </w:p>
    <w:p w14:paraId="4D07CDEC" w14:textId="139126D7" w:rsidR="00D73F36" w:rsidRPr="00D13B67" w:rsidRDefault="00D73F36" w:rsidP="0080241A">
      <w:pPr>
        <w:pStyle w:val="Attribution"/>
      </w:pPr>
      <w:r w:rsidRPr="00D13B67">
        <w:t xml:space="preserve">– </w:t>
      </w:r>
      <w:r w:rsidR="00966D87" w:rsidRPr="00D13B67">
        <w:t>Lila McKinlay</w:t>
      </w:r>
    </w:p>
    <w:p w14:paraId="3F73B465" w14:textId="6CD26AC2" w:rsidR="00D73F36" w:rsidRPr="00D13B67" w:rsidRDefault="00D73F36" w:rsidP="00F042C9">
      <w:pPr>
        <w:pStyle w:val="Student"/>
      </w:pPr>
      <w:r w:rsidRPr="00D13B67">
        <w:t>“Two years at Langara before I figured this out . . . it took me two years of . . . banging my head and . . . ended up not accessing the content at all and just figuring it out through other ways of how I’ve navigated the entire world.”</w:t>
      </w:r>
    </w:p>
    <w:p w14:paraId="54DC627A" w14:textId="3C1B89B5" w:rsidR="00D73F36" w:rsidRPr="00D13B67" w:rsidRDefault="00D73F36" w:rsidP="0080241A">
      <w:pPr>
        <w:pStyle w:val="Attribution"/>
      </w:pPr>
      <w:r w:rsidRPr="00D13B67">
        <w:t xml:space="preserve">– </w:t>
      </w:r>
      <w:r w:rsidR="00552280" w:rsidRPr="00D13B67">
        <w:t>Matt McLeod</w:t>
      </w:r>
    </w:p>
    <w:p w14:paraId="25BACFB8" w14:textId="6D71E5E0" w:rsidR="00D73F36" w:rsidRPr="00D13B67" w:rsidRDefault="00D73F36" w:rsidP="00AB62C3">
      <w:pPr>
        <w:pStyle w:val="Body"/>
        <w:ind w:firstLine="0"/>
      </w:pPr>
      <w:r w:rsidRPr="00D13B67">
        <w:t xml:space="preserve">However, </w:t>
      </w:r>
      <w:r w:rsidR="00D36642" w:rsidRPr="00D13B67">
        <w:t>Matt also</w:t>
      </w:r>
      <w:r w:rsidRPr="00D13B67">
        <w:t xml:space="preserve"> noted the positive outcome of that process:</w:t>
      </w:r>
    </w:p>
    <w:p w14:paraId="0ABF80D1" w14:textId="77777777" w:rsidR="00D73F36" w:rsidRPr="00D13B67" w:rsidRDefault="00D73F36" w:rsidP="00F042C9">
      <w:pPr>
        <w:pStyle w:val="Student"/>
      </w:pPr>
      <w:r w:rsidRPr="00D13B67">
        <w:t>“If I had not had this learning process here of like developing the competency and the mechanisms of like how to just like get my needs met and do it all for a couple years, UBC would not have been approachable.”</w:t>
      </w:r>
    </w:p>
    <w:p w14:paraId="0150B979" w14:textId="77777777" w:rsidR="00D36642" w:rsidRPr="00D13B67" w:rsidRDefault="00D36642" w:rsidP="0080241A"/>
    <w:p w14:paraId="4317FE8E" w14:textId="05574DCF" w:rsidR="00D73F36" w:rsidRPr="00D13B67" w:rsidRDefault="00D73F36" w:rsidP="0080241A">
      <w:pPr>
        <w:pStyle w:val="Body"/>
      </w:pPr>
      <w:r w:rsidRPr="00D13B67">
        <w:lastRenderedPageBreak/>
        <w:t>Ultimately, all the extra time needed to consume inaccessible content means students have less time and energy for learning.</w:t>
      </w:r>
    </w:p>
    <w:p w14:paraId="0A8D596B" w14:textId="77777777" w:rsidR="00D73F36" w:rsidRPr="00D13B67" w:rsidRDefault="00D73F36" w:rsidP="00F042C9">
      <w:pPr>
        <w:pStyle w:val="Student"/>
      </w:pPr>
      <w:r w:rsidRPr="00D13B67">
        <w:t xml:space="preserve">“I spent a lot of hours in a lot of stress. All that time could have </w:t>
      </w:r>
      <w:proofErr w:type="gramStart"/>
      <w:r w:rsidRPr="00D13B67">
        <w:t>actually been</w:t>
      </w:r>
      <w:proofErr w:type="gramEnd"/>
      <w:r w:rsidRPr="00D13B67">
        <w:t xml:space="preserve"> used absorbing the knowledge and feeling confident.”</w:t>
      </w:r>
    </w:p>
    <w:p w14:paraId="6BAC0A73" w14:textId="77777777" w:rsidR="00D73F36" w:rsidRPr="00D13B67" w:rsidRDefault="00D73F36" w:rsidP="0080241A">
      <w:pPr>
        <w:pStyle w:val="Attribution"/>
      </w:pPr>
      <w:r w:rsidRPr="00D13B67">
        <w:t>– Former Langara and current UBC student</w:t>
      </w:r>
    </w:p>
    <w:p w14:paraId="39DAD697" w14:textId="4F7103CF" w:rsidR="00131863" w:rsidRPr="00D13B67" w:rsidRDefault="0044442F" w:rsidP="008C7506">
      <w:pPr>
        <w:pStyle w:val="Body"/>
        <w:ind w:firstLine="0"/>
      </w:pPr>
      <w:r w:rsidRPr="00D13B67">
        <w:t>The additional time required of disabled students is a significant cost.</w:t>
      </w:r>
      <w:r w:rsidR="003507BF" w:rsidRPr="00D13B67">
        <w:t xml:space="preserve"> The over reliance on accommodations instead of proactive accessibility also places significant strain on administrators, remediators, and instructors. </w:t>
      </w:r>
    </w:p>
    <w:p w14:paraId="2CC1913F" w14:textId="4FF6B6E2" w:rsidR="00D83102" w:rsidRPr="00D13B67" w:rsidRDefault="00D83102" w:rsidP="00D83102">
      <w:pPr>
        <w:pStyle w:val="Heading4"/>
      </w:pPr>
      <w:bookmarkStart w:id="46" w:name="_Toc228867999"/>
      <w:r w:rsidRPr="00D13B67">
        <w:t>4.1.3 Student Experience</w:t>
      </w:r>
      <w:bookmarkEnd w:id="46"/>
    </w:p>
    <w:p w14:paraId="18EDD87C" w14:textId="3A385C10" w:rsidR="00D83102" w:rsidRPr="00D13B67" w:rsidRDefault="00D83102" w:rsidP="00D83102">
      <w:pPr>
        <w:pStyle w:val="Body"/>
      </w:pPr>
      <w:r w:rsidRPr="00D13B67">
        <w:t xml:space="preserve">Co-designers all noted different factors that </w:t>
      </w:r>
      <w:r w:rsidR="003A5BDF" w:rsidRPr="00D13B67">
        <w:t>hindered</w:t>
      </w:r>
      <w:r w:rsidRPr="00D13B67">
        <w:t xml:space="preserve"> their learning. Understanding the student experience, as it relates to inaccessible digital learning material and to their general experience in school, is key to understanding how to undo practices that negatively impact students and to create more welcoming and inclusive environments. Co-designers expressed varied emotional responses when asked about their experiences. Matt indicated that in his opinion, barriers experienced by students with disabilities, especially ‘invisible’ disabilities, can be difficult for others to understand.</w:t>
      </w:r>
    </w:p>
    <w:p w14:paraId="7796C22B" w14:textId="77777777" w:rsidR="00D83102" w:rsidRPr="00D13B67" w:rsidRDefault="00D83102" w:rsidP="00D83102">
      <w:pPr>
        <w:pStyle w:val="Student"/>
      </w:pPr>
      <w:r w:rsidRPr="00D13B67">
        <w:t>“They did not take me seriously until I literally sat down [redacted] and showed them what I needed and how I accessed the world.”</w:t>
      </w:r>
    </w:p>
    <w:p w14:paraId="6DA3E381" w14:textId="77777777" w:rsidR="00D83102" w:rsidRPr="00D13B67" w:rsidRDefault="00D83102" w:rsidP="00D83102">
      <w:pPr>
        <w:pStyle w:val="Attribution"/>
      </w:pPr>
      <w:r w:rsidRPr="00D13B67">
        <w:t xml:space="preserve"> – Matt McLeod</w:t>
      </w:r>
    </w:p>
    <w:p w14:paraId="435BBDAE" w14:textId="77777777" w:rsidR="00D83102" w:rsidRPr="00D13B67" w:rsidRDefault="00D83102" w:rsidP="00600341">
      <w:pPr>
        <w:pStyle w:val="Body"/>
        <w:ind w:firstLine="0"/>
      </w:pPr>
      <w:r w:rsidRPr="00D13B67">
        <w:t>Matt’s sentiment aligns with other studies of academic ableism, as discussed in section 2.1.3, particularly Sheets’ (2019) study that found instructors grappling to understand why they should accommodate “someone who appeared young and healthy” (p. 80).</w:t>
      </w:r>
    </w:p>
    <w:p w14:paraId="318892C1" w14:textId="77777777" w:rsidR="00D83102" w:rsidRPr="00D13B67" w:rsidRDefault="00D83102" w:rsidP="00D83102">
      <w:pPr>
        <w:pStyle w:val="Body"/>
      </w:pPr>
      <w:r w:rsidRPr="00D13B67">
        <w:t>Soma noted the negative repercussions of inaccessible content and how it significantly impacts her ability to demonstrate what she has learned and succeed:</w:t>
      </w:r>
    </w:p>
    <w:p w14:paraId="5F72C815" w14:textId="77777777" w:rsidR="00D83102" w:rsidRPr="00D13B67" w:rsidRDefault="00D83102" w:rsidP="00D83102">
      <w:pPr>
        <w:pStyle w:val="Student"/>
      </w:pPr>
      <w:r w:rsidRPr="00D13B67">
        <w:lastRenderedPageBreak/>
        <w:t xml:space="preserve">“I just got an e-mail from [school] saying, hey, your GPA is below 2.00. If you don’t get your GPA back up for the fall term, you’re </w:t>
      </w:r>
      <w:proofErr w:type="spellStart"/>
      <w:r w:rsidRPr="00D13B67">
        <w:t>gonna</w:t>
      </w:r>
      <w:proofErr w:type="spellEnd"/>
      <w:r w:rsidRPr="00D13B67">
        <w:t xml:space="preserve"> be on academic probation for a year. And I’m just sitting there going ‘not again.’ This is like the second time this has happened, right? It’s not really my fault. The material was just not accessible.”</w:t>
      </w:r>
    </w:p>
    <w:p w14:paraId="5172C2E4" w14:textId="77777777" w:rsidR="00D83102" w:rsidRPr="00D13B67" w:rsidRDefault="00D83102" w:rsidP="00D83102">
      <w:pPr>
        <w:pStyle w:val="Attribution"/>
      </w:pPr>
      <w:r w:rsidRPr="00D13B67">
        <w:t>– Soma Ali</w:t>
      </w:r>
    </w:p>
    <w:p w14:paraId="3AAB88EF" w14:textId="6163B363" w:rsidR="00D83102" w:rsidRPr="00D13B67" w:rsidRDefault="00D83102" w:rsidP="00D83102">
      <w:pPr>
        <w:pStyle w:val="Body"/>
      </w:pPr>
      <w:r w:rsidRPr="00D13B67">
        <w:t>Matt echoed this sentiment, stating that the consequence of encountering inaccessible content is “immense . . . I will misunderstand deadlines or not fully understand something.” Co-designers often expressed powerful emotions when asked how they felt when they encounter inaccessible content. Lila McKinlay, when reflecting on a specific instance when an instructor “invented a barrier”</w:t>
      </w:r>
      <w:r w:rsidR="00600341" w:rsidRPr="00D13B67">
        <w:t>,</w:t>
      </w:r>
      <w:r w:rsidRPr="00D13B67">
        <w:t xml:space="preserve"> stated that </w:t>
      </w:r>
      <w:r w:rsidR="00600341" w:rsidRPr="00D13B67">
        <w:t>the instructor’s</w:t>
      </w:r>
      <w:r w:rsidRPr="00D13B67">
        <w:t xml:space="preserve"> actions caused her “so much self-doubt” forcing Lila to ask herself “What did I do wrong? What did I miss? How did I </w:t>
      </w:r>
      <w:r w:rsidR="00EA6D09" w:rsidRPr="00D13B67">
        <w:t>fuck</w:t>
      </w:r>
      <w:r w:rsidRPr="00D13B67">
        <w:t xml:space="preserve"> that up? What did I, you know, where did I . . . It was so gross . . . being, like ‘am I going crazy?’” Matt expressed that he felt he was “holding emotional space for institutions” while the “fatigue over the many, many, many different . . . microaggressions that that person experiences” took a significant toll on his mental wellbeing. When asked about how they feel when excluded, one student responded:</w:t>
      </w:r>
    </w:p>
    <w:p w14:paraId="61B10613" w14:textId="77777777" w:rsidR="00D83102" w:rsidRPr="00D13B67" w:rsidRDefault="00D83102" w:rsidP="00D83102">
      <w:pPr>
        <w:pStyle w:val="Student"/>
      </w:pPr>
      <w:r w:rsidRPr="00D13B67">
        <w:t xml:space="preserve">“It’s infuriating . . . your blood pressure goes </w:t>
      </w:r>
      <w:proofErr w:type="gramStart"/>
      <w:r w:rsidRPr="00D13B67">
        <w:t>up.“</w:t>
      </w:r>
      <w:proofErr w:type="gramEnd"/>
    </w:p>
    <w:p w14:paraId="5F42EB28" w14:textId="77777777" w:rsidR="00D83102" w:rsidRPr="00D13B67" w:rsidRDefault="00D83102" w:rsidP="00D83102">
      <w:pPr>
        <w:pStyle w:val="Attribution"/>
      </w:pPr>
      <w:r w:rsidRPr="00D13B67">
        <w:t>– Former Langara and current UBC student</w:t>
      </w:r>
    </w:p>
    <w:p w14:paraId="254438B9" w14:textId="77777777" w:rsidR="00D83102" w:rsidRPr="00D13B67" w:rsidRDefault="00D83102" w:rsidP="00D83102">
      <w:pPr>
        <w:pStyle w:val="Body"/>
      </w:pPr>
      <w:r w:rsidRPr="00D13B67">
        <w:t xml:space="preserve">Soma expressed that “it was really upsetting and frustrating” when they couldn’t access content. Matt indicated that “it was all exceptionally overwhelming because I didn’t understand how I was </w:t>
      </w:r>
      <w:proofErr w:type="spellStart"/>
      <w:r w:rsidRPr="00D13B67">
        <w:t>gonna</w:t>
      </w:r>
      <w:proofErr w:type="spellEnd"/>
      <w:r w:rsidRPr="00D13B67">
        <w:t xml:space="preserve"> access this content, and so having that added barrier . . . adds a ton of emotional labour and work to just the process of school.”</w:t>
      </w:r>
    </w:p>
    <w:p w14:paraId="4540C6DB" w14:textId="77777777" w:rsidR="00D83102" w:rsidRPr="00D13B67" w:rsidRDefault="00D83102" w:rsidP="00D83102">
      <w:pPr>
        <w:pStyle w:val="Body"/>
      </w:pPr>
      <w:r w:rsidRPr="00D13B67">
        <w:t>Several students noted the lack of technical support and the technical barriers that often felt needless.</w:t>
      </w:r>
    </w:p>
    <w:p w14:paraId="61199B7E" w14:textId="18DF1D4C" w:rsidR="00D83102" w:rsidRPr="00D13B67" w:rsidRDefault="00D83102" w:rsidP="00D83102">
      <w:pPr>
        <w:pStyle w:val="Student"/>
      </w:pPr>
      <w:r w:rsidRPr="00D13B67">
        <w:lastRenderedPageBreak/>
        <w:t>“Where is every . . . where is all the people to support or interact with?”</w:t>
      </w:r>
    </w:p>
    <w:p w14:paraId="2E6F2C1B" w14:textId="77777777" w:rsidR="00D83102" w:rsidRPr="00D13B67" w:rsidRDefault="00D83102" w:rsidP="00D83102">
      <w:pPr>
        <w:pStyle w:val="Attribution"/>
      </w:pPr>
      <w:r w:rsidRPr="00D13B67">
        <w:t>– Former Langara and current UBC student</w:t>
      </w:r>
    </w:p>
    <w:p w14:paraId="79FBE0E5" w14:textId="77777777" w:rsidR="00D83102" w:rsidRPr="00D13B67" w:rsidRDefault="00D83102" w:rsidP="00EA6D09">
      <w:pPr>
        <w:pStyle w:val="Body"/>
        <w:ind w:firstLine="0"/>
      </w:pPr>
      <w:r w:rsidRPr="00D13B67">
        <w:t>This student went on to express frustration with unfulfilled promises, stating recruitment information is “lying. I feel like what happens is it’s all lies . . . it’s like . . . ‘Come to Langara! We’re supporting you! We have all these things, da-da-da-da!’ But . . . but then . . .  nobody there to actually . . . connect with and help you do that, and the only reason I connected with you is because I was in the accessibility department.” This student also lamented the technical skills required by all students to simply complete and submit assignments, stating:</w:t>
      </w:r>
    </w:p>
    <w:p w14:paraId="4EEFB045" w14:textId="77777777" w:rsidR="00D83102" w:rsidRPr="00D13B67" w:rsidRDefault="00D83102" w:rsidP="00D83102">
      <w:pPr>
        <w:pStyle w:val="Student"/>
      </w:pPr>
      <w:r w:rsidRPr="00D13B67">
        <w:t xml:space="preserve">“These hoops that we’re talking about, they’re actually part of the course, because if you can’t do </w:t>
      </w:r>
      <w:proofErr w:type="gramStart"/>
      <w:r w:rsidRPr="00D13B67">
        <w:t>it</w:t>
      </w:r>
      <w:proofErr w:type="gramEnd"/>
      <w:r w:rsidRPr="00D13B67">
        <w:t xml:space="preserve"> you can’t actually complete the </w:t>
      </w:r>
      <w:proofErr w:type="gramStart"/>
      <w:r w:rsidRPr="00D13B67">
        <w:t>course.“</w:t>
      </w:r>
      <w:proofErr w:type="gramEnd"/>
    </w:p>
    <w:p w14:paraId="5C4A234D" w14:textId="77777777" w:rsidR="00D83102" w:rsidRPr="00D13B67" w:rsidRDefault="00D83102" w:rsidP="00D83102">
      <w:pPr>
        <w:pStyle w:val="Attribution"/>
      </w:pPr>
      <w:r w:rsidRPr="00D13B67">
        <w:t>– Former Langara and current UBC student</w:t>
      </w:r>
    </w:p>
    <w:p w14:paraId="233931D1" w14:textId="6DABB64F" w:rsidR="00D83102" w:rsidRPr="00D13B67" w:rsidRDefault="005F784E" w:rsidP="00D83102">
      <w:pPr>
        <w:pStyle w:val="Body"/>
        <w:ind w:firstLine="0"/>
      </w:pPr>
      <w:r w:rsidRPr="00D13B67">
        <w:t>Some</w:t>
      </w:r>
      <w:r w:rsidR="00D83102" w:rsidRPr="00D13B67">
        <w:t xml:space="preserve"> students have developed a patchwork of tools to get the access they need</w:t>
      </w:r>
      <w:r w:rsidRPr="00D13B67">
        <w:t>.</w:t>
      </w:r>
    </w:p>
    <w:p w14:paraId="6438E788" w14:textId="77777777" w:rsidR="00D83102" w:rsidRPr="00D13B67" w:rsidRDefault="00D83102" w:rsidP="00D83102">
      <w:pPr>
        <w:pStyle w:val="Student"/>
      </w:pPr>
      <w:r w:rsidRPr="00D13B67">
        <w:t>“A lot is really had to be self-taught . . . educating myself, googling everything, Reddit, how do you do it, figure it out, and so then I have that for the next time . . . and more often than not, I spend time just trying to figure workarounds or get it to work, and it inevitably doesn’t really.”</w:t>
      </w:r>
    </w:p>
    <w:p w14:paraId="7617269E" w14:textId="77777777" w:rsidR="00D83102" w:rsidRPr="00D13B67" w:rsidRDefault="00D83102" w:rsidP="00D83102">
      <w:pPr>
        <w:pStyle w:val="Attribution"/>
      </w:pPr>
      <w:r w:rsidRPr="00D13B67">
        <w:t>– Lila McKinlay</w:t>
      </w:r>
    </w:p>
    <w:p w14:paraId="71316FE9" w14:textId="77777777" w:rsidR="00D83102" w:rsidRPr="00D13B67" w:rsidRDefault="00D83102" w:rsidP="00D83102">
      <w:pPr>
        <w:pStyle w:val="Body"/>
      </w:pPr>
      <w:r w:rsidRPr="00D13B67">
        <w:t xml:space="preserve">Matt recounted an experience when familiar technology was swapped for </w:t>
      </w:r>
      <w:proofErr w:type="gramStart"/>
      <w:r w:rsidRPr="00D13B67">
        <w:t>one</w:t>
      </w:r>
      <w:proofErr w:type="gramEnd"/>
      <w:r w:rsidRPr="00D13B67">
        <w:t xml:space="preserve"> he had not previously used in an exam setting: “[familiarity] is so important when you think about cognitive load when writing an exam. What do I need to be attending to when I write that exam? It’s not calibrating. Try again. It’s writing the exam.”</w:t>
      </w:r>
    </w:p>
    <w:p w14:paraId="109F28DF" w14:textId="77777777" w:rsidR="00D83102" w:rsidRPr="00D13B67" w:rsidRDefault="00D83102" w:rsidP="00D83102">
      <w:pPr>
        <w:pStyle w:val="Body"/>
      </w:pPr>
      <w:r w:rsidRPr="00D13B67">
        <w:t xml:space="preserve">As Soma expressed above, when learning material isn’t accessible, students are unable to fully demonstrate their learning and succeed. Matt, reflective that other disabled students have had harder times than he has, referred to “tragedies. They are what people </w:t>
      </w:r>
      <w:r w:rsidRPr="00D13B67">
        <w:lastRenderedPageBreak/>
        <w:t xml:space="preserve">think about when they think about someone that dropped out of university because like I know people here that couldn’t access the institution the way that . . . the institution </w:t>
      </w:r>
      <w:proofErr w:type="gramStart"/>
      <w:r w:rsidRPr="00D13B67">
        <w:t>need</w:t>
      </w:r>
      <w:proofErr w:type="gramEnd"/>
      <w:r w:rsidRPr="00D13B67">
        <w:t>[ed] to be negotiated and they just they just drop out.” When someone is unable to conform to post-secondary’s preconceived notion of what is acceptable, they are not welcome. Matt also expressed the emotional drain of constant barriers and how that left him with less energy to complete his schoolwork:</w:t>
      </w:r>
    </w:p>
    <w:p w14:paraId="44EFA3CA" w14:textId="77777777" w:rsidR="00D83102" w:rsidRPr="00D13B67" w:rsidRDefault="00D83102" w:rsidP="00D83102">
      <w:pPr>
        <w:pStyle w:val="Student"/>
      </w:pPr>
      <w:r w:rsidRPr="00D13B67">
        <w:t xml:space="preserve">“I was so upset with this process of continually not feeling I can get the content in the way I needed it . . . It’s more emotion, it’s more cognitively. You . . . you’re demanding more effort just to get to what I’m supposed to be </w:t>
      </w:r>
      <w:proofErr w:type="gramStart"/>
      <w:r w:rsidRPr="00D13B67">
        <w:t>accessing</w:t>
      </w:r>
      <w:proofErr w:type="gramEnd"/>
      <w:r w:rsidRPr="00D13B67">
        <w:t xml:space="preserve"> and which is taking away from the amount of cognitive energy and effortful attention I </w:t>
      </w:r>
      <w:proofErr w:type="gramStart"/>
      <w:r w:rsidRPr="00D13B67">
        <w:t>have to</w:t>
      </w:r>
      <w:proofErr w:type="gramEnd"/>
      <w:r w:rsidRPr="00D13B67">
        <w:t xml:space="preserve"> just do the work itself. In and of itself that right there is more cumbersome and demanding than if it was accessible in a way that made sense.”</w:t>
      </w:r>
    </w:p>
    <w:p w14:paraId="386B5FBD" w14:textId="77777777" w:rsidR="00D83102" w:rsidRPr="00D13B67" w:rsidRDefault="00D83102" w:rsidP="00D83102">
      <w:pPr>
        <w:pStyle w:val="Attribution"/>
      </w:pPr>
      <w:r w:rsidRPr="00D13B67">
        <w:t>– Matt McLeod</w:t>
      </w:r>
    </w:p>
    <w:p w14:paraId="0A44A9F5" w14:textId="77777777" w:rsidR="00D83102" w:rsidRPr="00D13B67" w:rsidRDefault="00D83102" w:rsidP="00D83102">
      <w:pPr>
        <w:pStyle w:val="Body"/>
      </w:pPr>
      <w:r w:rsidRPr="00D13B67">
        <w:t>When content is inaccessible and disabled students are asked to do more work, they feel excluded and unwelcome. For one student, inaccessible content significantly undermined her confidence and academic success:</w:t>
      </w:r>
    </w:p>
    <w:p w14:paraId="0738DCBF" w14:textId="77777777" w:rsidR="00D83102" w:rsidRPr="00D13B67" w:rsidRDefault="00D83102" w:rsidP="00D83102">
      <w:pPr>
        <w:pStyle w:val="Student"/>
      </w:pPr>
      <w:r w:rsidRPr="00D13B67">
        <w:t xml:space="preserve">“I </w:t>
      </w:r>
      <w:proofErr w:type="gramStart"/>
      <w:r w:rsidRPr="00D13B67">
        <w:t>wasn’t able to</w:t>
      </w:r>
      <w:proofErr w:type="gramEnd"/>
      <w:r w:rsidRPr="00D13B67">
        <w:t xml:space="preserve"> access as much . . . information. And confidence, as I feel like I am capable of.</w:t>
      </w:r>
    </w:p>
    <w:p w14:paraId="103A6F03" w14:textId="14A0A052" w:rsidR="00D83102" w:rsidRPr="00D13B67" w:rsidRDefault="00D83102" w:rsidP="00D83102">
      <w:pPr>
        <w:pStyle w:val="Attribution"/>
      </w:pPr>
      <w:r w:rsidRPr="00D13B67">
        <w:t>– Former Langara and current UBC student</w:t>
      </w:r>
    </w:p>
    <w:p w14:paraId="75D5D2CF" w14:textId="6AD1DDE4" w:rsidR="00F22A5E" w:rsidRPr="00D13B67" w:rsidRDefault="00D95D97" w:rsidP="58146045">
      <w:pPr>
        <w:pStyle w:val="Heading4"/>
      </w:pPr>
      <w:bookmarkStart w:id="47" w:name="_Toc228868000"/>
      <w:r w:rsidRPr="00D13B67">
        <w:t xml:space="preserve">4.1.4 </w:t>
      </w:r>
      <w:r w:rsidR="00F22A5E" w:rsidRPr="00D13B67">
        <w:t>Solutions</w:t>
      </w:r>
      <w:bookmarkEnd w:id="47"/>
    </w:p>
    <w:p w14:paraId="109BE16A" w14:textId="378CB218" w:rsidR="00F22A5E" w:rsidRPr="00D13B67" w:rsidRDefault="00F22A5E" w:rsidP="0080241A">
      <w:pPr>
        <w:pStyle w:val="Body"/>
      </w:pPr>
      <w:r w:rsidRPr="00D13B67">
        <w:t>People often know what they need to succeed</w:t>
      </w:r>
      <w:r w:rsidR="00F3167D" w:rsidRPr="00D13B67">
        <w:t>; they are experts on their own lived experience</w:t>
      </w:r>
      <w:r w:rsidRPr="00D13B67">
        <w:t xml:space="preserve">. All </w:t>
      </w:r>
      <w:r w:rsidR="00F3167D" w:rsidRPr="00D13B67">
        <w:t>students</w:t>
      </w:r>
      <w:r w:rsidRPr="00D13B67">
        <w:t xml:space="preserve"> offered suggestions and solutions that would help improve their experience.</w:t>
      </w:r>
      <w:r w:rsidR="007F6FE9" w:rsidRPr="00D13B67">
        <w:t xml:space="preserve"> </w:t>
      </w:r>
      <w:r w:rsidR="00D21A3D" w:rsidRPr="00D13B67">
        <w:t>Matt expressed</w:t>
      </w:r>
      <w:r w:rsidRPr="00D13B67">
        <w:t xml:space="preserve"> that being asked what would help them lead</w:t>
      </w:r>
      <w:r w:rsidR="00FB5EDB" w:rsidRPr="00D13B67">
        <w:t>s</w:t>
      </w:r>
      <w:r w:rsidRPr="00D13B67">
        <w:t xml:space="preserve"> to better experiences:</w:t>
      </w:r>
    </w:p>
    <w:p w14:paraId="47235502" w14:textId="77777777" w:rsidR="00F22A5E" w:rsidRPr="00D13B67" w:rsidRDefault="00F22A5E" w:rsidP="00F042C9">
      <w:pPr>
        <w:pStyle w:val="Student"/>
      </w:pPr>
      <w:r w:rsidRPr="00D13B67">
        <w:t xml:space="preserve">“I know for me . . . it’s asking me what I need . . . because it invites me to feel like I can . . . at least have a conversation . . . I’ve only ever had one instructor who explicitly named, ‘I </w:t>
      </w:r>
      <w:r w:rsidRPr="00D13B67">
        <w:lastRenderedPageBreak/>
        <w:t>want to meet you where you are, whether it becomes access, inclusiveness, whatever that looks like for you, I want to do that for you. I just need you to tell me what you need so I can help give it to you’.”</w:t>
      </w:r>
    </w:p>
    <w:p w14:paraId="7C82FAA4" w14:textId="77777777" w:rsidR="00D21A3D" w:rsidRPr="00D13B67" w:rsidRDefault="00D21A3D" w:rsidP="0080241A"/>
    <w:p w14:paraId="2FFC90A0" w14:textId="1043C983" w:rsidR="003D5E91" w:rsidRPr="00D13B67" w:rsidRDefault="00B0483D" w:rsidP="00ED7549">
      <w:pPr>
        <w:pStyle w:val="Body"/>
        <w:ind w:firstLine="0"/>
      </w:pPr>
      <w:r w:rsidRPr="00D13B67">
        <w:t xml:space="preserve">Matt’s ask is not a demanding one, nor should disabled students have to make demands. </w:t>
      </w:r>
      <w:r w:rsidR="005330A7" w:rsidRPr="00D13B67">
        <w:t xml:space="preserve">As discussed in section 2.1.3 of this paper, </w:t>
      </w:r>
      <w:r w:rsidR="001F3E90" w:rsidRPr="00D13B67">
        <w:t>students are not consulted about the efficacy of accommodations</w:t>
      </w:r>
      <w:r w:rsidR="00E12A1B" w:rsidRPr="00D13B67">
        <w:t>. The co-designers of this work confirm that even on an individual level, asking students what they need to succeed is the most effective kind of support.</w:t>
      </w:r>
    </w:p>
    <w:p w14:paraId="61732FFF" w14:textId="377FF736" w:rsidR="00F22A5E" w:rsidRPr="00D13B67" w:rsidRDefault="00D21A3D" w:rsidP="0080241A">
      <w:pPr>
        <w:pStyle w:val="Body"/>
      </w:pPr>
      <w:r w:rsidRPr="00D13B67">
        <w:t>Other s</w:t>
      </w:r>
      <w:r w:rsidR="00F22A5E" w:rsidRPr="00D13B67">
        <w:t>tudents</w:t>
      </w:r>
      <w:r w:rsidRPr="00D13B67">
        <w:t xml:space="preserve"> also expressed</w:t>
      </w:r>
      <w:r w:rsidR="00F22A5E" w:rsidRPr="00D13B67">
        <w:t xml:space="preserve"> appreciat</w:t>
      </w:r>
      <w:r w:rsidRPr="00D13B67">
        <w:t>ion for</w:t>
      </w:r>
      <w:r w:rsidR="00F22A5E" w:rsidRPr="00D13B67">
        <w:t xml:space="preserve"> instructors </w:t>
      </w:r>
      <w:r w:rsidRPr="00D13B67">
        <w:t xml:space="preserve">that were willing to </w:t>
      </w:r>
      <w:r w:rsidR="00ED7549" w:rsidRPr="00D13B67">
        <w:t xml:space="preserve">be </w:t>
      </w:r>
      <w:r w:rsidR="00F22A5E" w:rsidRPr="00D13B67">
        <w:t xml:space="preserve">open and inviting. </w:t>
      </w:r>
      <w:r w:rsidR="00ED7549" w:rsidRPr="00D13B67">
        <w:t>A</w:t>
      </w:r>
      <w:r w:rsidR="00F22A5E" w:rsidRPr="00D13B67">
        <w:t xml:space="preserve"> welcoming attitude helps students get the access they need.</w:t>
      </w:r>
      <w:r w:rsidRPr="00D13B67">
        <w:t xml:space="preserve"> Soma recounted an instructor who provided visual descriptions without being asked</w:t>
      </w:r>
      <w:r w:rsidR="005D4C64" w:rsidRPr="00D13B67">
        <w:t xml:space="preserve"> and “e</w:t>
      </w:r>
      <w:r w:rsidR="00F22A5E" w:rsidRPr="00D13B67">
        <w:t xml:space="preserve">ven if she couldn’t describe the video in class, she would later call </w:t>
      </w:r>
      <w:proofErr w:type="gramStart"/>
      <w:r w:rsidR="00F22A5E" w:rsidRPr="00D13B67">
        <w:t>me</w:t>
      </w:r>
      <w:proofErr w:type="gramEnd"/>
      <w:r w:rsidR="00F22A5E" w:rsidRPr="00D13B67">
        <w:t xml:space="preserve"> and we set up a Zoom session. And she would go through the movie, the video with me over Zoom . . . She just offered it. I don’t have to even ask her for anything.</w:t>
      </w:r>
      <w:r w:rsidR="004F6258" w:rsidRPr="00D13B67">
        <w:t>”</w:t>
      </w:r>
      <w:r w:rsidR="005D4C64" w:rsidRPr="00D13B67">
        <w:t xml:space="preserve"> Soma explained that </w:t>
      </w:r>
      <w:r w:rsidR="009266E6" w:rsidRPr="00D13B67">
        <w:t>few</w:t>
      </w:r>
      <w:r w:rsidR="005D4C64" w:rsidRPr="00D13B67">
        <w:t xml:space="preserve"> instructors </w:t>
      </w:r>
      <w:r w:rsidR="009266E6" w:rsidRPr="00D13B67">
        <w:t>offered this level of accessibility. Soma explained a spectrum of experiences with instructors:</w:t>
      </w:r>
    </w:p>
    <w:p w14:paraId="2F34E7F6" w14:textId="034C3E9D" w:rsidR="00F22A5E" w:rsidRPr="00D13B67" w:rsidRDefault="00F22A5E" w:rsidP="00F042C9">
      <w:pPr>
        <w:pStyle w:val="Student"/>
      </w:pPr>
      <w:r w:rsidRPr="00D13B67">
        <w:t>“I think it depends on the professor. Some are approachable and I feel comfortable approaching them and asking them for stuff. Others I just feel like I’m intimidated . . . because some professors are like, OK, yes, if you have any questions, concerns, feel free to come up to me and talk to me or e-mail me or whatever. And others are just like, uh, I don’t really give a darn, right?”</w:t>
      </w:r>
    </w:p>
    <w:p w14:paraId="6B2183F8" w14:textId="77777777" w:rsidR="002D38B6" w:rsidRPr="00D13B67" w:rsidRDefault="002D38B6" w:rsidP="0080241A"/>
    <w:p w14:paraId="784177F1" w14:textId="36628CA4" w:rsidR="00A40C30" w:rsidRPr="00D13B67" w:rsidRDefault="00A40C30" w:rsidP="0080241A">
      <w:pPr>
        <w:pStyle w:val="Body"/>
      </w:pPr>
      <w:r w:rsidRPr="00D13B67">
        <w:t>The unnamed co-designer</w:t>
      </w:r>
      <w:r w:rsidR="002D38B6" w:rsidRPr="00D13B67">
        <w:t xml:space="preserve"> expressed gratitude for instructors </w:t>
      </w:r>
      <w:r w:rsidR="006B3FBA" w:rsidRPr="00D13B67">
        <w:t>who</w:t>
      </w:r>
      <w:r w:rsidR="002D38B6" w:rsidRPr="00D13B67">
        <w:t xml:space="preserve"> understood that technical difficulties did not mean they had not done the work:</w:t>
      </w:r>
    </w:p>
    <w:p w14:paraId="5B18FD00" w14:textId="14887062" w:rsidR="00F22A5E" w:rsidRPr="00D13B67" w:rsidRDefault="00F22A5E" w:rsidP="00F042C9">
      <w:pPr>
        <w:pStyle w:val="Student"/>
      </w:pPr>
      <w:r w:rsidRPr="00D13B67">
        <w:t>“If I had any problem.</w:t>
      </w:r>
      <w:r w:rsidR="00ED7549" w:rsidRPr="00D13B67">
        <w:t xml:space="preserve"> T</w:t>
      </w:r>
      <w:r w:rsidRPr="00D13B67">
        <w:t>hey were like</w:t>
      </w:r>
      <w:r w:rsidR="002D38B6" w:rsidRPr="00D13B67">
        <w:t>,</w:t>
      </w:r>
      <w:r w:rsidRPr="00D13B67">
        <w:t xml:space="preserve"> </w:t>
      </w:r>
      <w:r w:rsidR="002D38B6" w:rsidRPr="00D13B67">
        <w:t>‘</w:t>
      </w:r>
      <w:r w:rsidRPr="00D13B67">
        <w:t>Okay, just photograph it and email to me</w:t>
      </w:r>
      <w:r w:rsidR="002D38B6" w:rsidRPr="00D13B67">
        <w:t>’</w:t>
      </w:r>
      <w:r w:rsidRPr="00D13B67">
        <w:t xml:space="preserve">, you know? </w:t>
      </w:r>
      <w:r w:rsidR="002D38B6" w:rsidRPr="00D13B67">
        <w:t>. . .</w:t>
      </w:r>
      <w:r w:rsidRPr="00D13B67">
        <w:t xml:space="preserve"> they made allowances, even though they may have said no allowances, they did. I found anyone that I went to </w:t>
      </w:r>
      <w:r w:rsidR="002D38B6" w:rsidRPr="00D13B67">
        <w:t>. . .</w:t>
      </w:r>
      <w:r w:rsidRPr="00D13B67">
        <w:t xml:space="preserve"> and I said, </w:t>
      </w:r>
      <w:r w:rsidR="002D38B6" w:rsidRPr="00D13B67">
        <w:t>‘</w:t>
      </w:r>
      <w:r w:rsidRPr="00D13B67">
        <w:t>I’m having this problem, but I can prove to you it’s done.</w:t>
      </w:r>
      <w:r w:rsidR="002D38B6" w:rsidRPr="00D13B67">
        <w:t>’</w:t>
      </w:r>
      <w:r w:rsidRPr="00D13B67">
        <w:t xml:space="preserve"> They were like, </w:t>
      </w:r>
      <w:r w:rsidR="002D38B6" w:rsidRPr="00D13B67">
        <w:t>‘</w:t>
      </w:r>
      <w:r w:rsidRPr="00D13B67">
        <w:t>yep, okay.</w:t>
      </w:r>
      <w:r w:rsidR="002D38B6" w:rsidRPr="00D13B67">
        <w:t>’</w:t>
      </w:r>
      <w:r w:rsidRPr="00D13B67">
        <w:t>”</w:t>
      </w:r>
    </w:p>
    <w:p w14:paraId="626A3EBD" w14:textId="77777777" w:rsidR="002D38B6" w:rsidRPr="00D13B67" w:rsidRDefault="002D38B6" w:rsidP="0080241A"/>
    <w:p w14:paraId="7CD03BC4" w14:textId="0FA31279" w:rsidR="002A2871" w:rsidRPr="00D13B67" w:rsidRDefault="002A2871" w:rsidP="0080241A">
      <w:pPr>
        <w:pStyle w:val="Body"/>
        <w:ind w:firstLine="0"/>
      </w:pPr>
      <w:r w:rsidRPr="00D13B67">
        <w:t xml:space="preserve">Lila was appreciative of </w:t>
      </w:r>
      <w:r w:rsidR="00D97F31" w:rsidRPr="00D13B67">
        <w:t>good intentions:</w:t>
      </w:r>
    </w:p>
    <w:p w14:paraId="15A60A90" w14:textId="2A10D893" w:rsidR="00F22A5E" w:rsidRPr="00D13B67" w:rsidRDefault="00F22A5E" w:rsidP="00F042C9">
      <w:pPr>
        <w:pStyle w:val="Student"/>
      </w:pPr>
      <w:r w:rsidRPr="00D13B67">
        <w:t>“They’re making the effort for that. They’re understanding . . . they’re trying to create an inclusive class. That there is clearly an intention with . . . their way of saying, you know, to talk through anything . . . Saying when office hours are, having different types of office hours, being willing to change them if needed</w:t>
      </w:r>
      <w:r w:rsidR="00DA4070" w:rsidRPr="00D13B67">
        <w:t xml:space="preserve">. </w:t>
      </w:r>
      <w:r w:rsidRPr="00D13B67">
        <w:t>Yeah, you could just</w:t>
      </w:r>
      <w:r w:rsidR="00DA4070" w:rsidRPr="00D13B67">
        <w:t xml:space="preserve"> . . .</w:t>
      </w:r>
      <w:r w:rsidRPr="00D13B67">
        <w:t xml:space="preserve"> I could tell there was intent.”</w:t>
      </w:r>
    </w:p>
    <w:p w14:paraId="6B4BCB6C" w14:textId="77777777" w:rsidR="00D97F31" w:rsidRPr="00D13B67" w:rsidRDefault="00D97F31" w:rsidP="0080241A"/>
    <w:p w14:paraId="6249EE2D" w14:textId="3ECBBFE2" w:rsidR="00F22A5E" w:rsidRPr="00D13B67" w:rsidRDefault="00D97F31" w:rsidP="0080241A">
      <w:pPr>
        <w:pStyle w:val="Body"/>
      </w:pPr>
      <w:r w:rsidRPr="00D13B67">
        <w:t>Lila</w:t>
      </w:r>
      <w:r w:rsidR="00E761D7" w:rsidRPr="00D13B67">
        <w:t xml:space="preserve">, while appreciative of intent, wanted </w:t>
      </w:r>
      <w:r w:rsidR="00BD3990" w:rsidRPr="00D13B67">
        <w:t xml:space="preserve">instructors to understand the value </w:t>
      </w:r>
      <w:r w:rsidR="006552B5" w:rsidRPr="00D13B67">
        <w:t xml:space="preserve">of accessible, inclusive content </w:t>
      </w:r>
      <w:r w:rsidR="00BD3990" w:rsidRPr="00D13B67">
        <w:t>for all students</w:t>
      </w:r>
      <w:r w:rsidR="006552B5" w:rsidRPr="00D13B67">
        <w:t>. She said that accessibility is</w:t>
      </w:r>
      <w:r w:rsidR="00F22A5E" w:rsidRPr="00D13B67">
        <w:t xml:space="preserve"> </w:t>
      </w:r>
      <w:r w:rsidR="006552B5" w:rsidRPr="00D13B67">
        <w:t>“</w:t>
      </w:r>
      <w:r w:rsidR="00F22A5E" w:rsidRPr="00D13B67">
        <w:t>not just a benefit to . . . a specific student or . . . just the people</w:t>
      </w:r>
      <w:r w:rsidR="00DA4070" w:rsidRPr="00D13B67">
        <w:t xml:space="preserve"> </w:t>
      </w:r>
      <w:r w:rsidR="00F22A5E" w:rsidRPr="00D13B67">
        <w:t>. . . with accessibility needs</w:t>
      </w:r>
      <w:r w:rsidR="006552B5" w:rsidRPr="00D13B67">
        <w:t>. Lila continued by stating that “</w:t>
      </w:r>
      <w:r w:rsidR="00F22A5E" w:rsidRPr="00D13B67">
        <w:t xml:space="preserve">inclusivity . . . is an action, and it’s not just saying, hey, you’re all welcome. It’s </w:t>
      </w:r>
      <w:proofErr w:type="gramStart"/>
      <w:r w:rsidR="00F22A5E" w:rsidRPr="00D13B67">
        <w:t>actually making</w:t>
      </w:r>
      <w:proofErr w:type="gramEnd"/>
      <w:r w:rsidR="00F22A5E" w:rsidRPr="00D13B67">
        <w:t xml:space="preserve"> . . . creating, removing barriers so that you can participate, because we are very smart, and we have very important things to say.</w:t>
      </w:r>
      <w:r w:rsidR="004F6258" w:rsidRPr="00D13B67">
        <w:t>”</w:t>
      </w:r>
      <w:r w:rsidR="003973D2" w:rsidRPr="00D13B67">
        <w:t xml:space="preserve"> Lila keys in on an important point</w:t>
      </w:r>
      <w:r w:rsidR="00817CC2" w:rsidRPr="00D13B67">
        <w:t>: a</w:t>
      </w:r>
      <w:r w:rsidR="003973D2" w:rsidRPr="00D13B67">
        <w:t xml:space="preserve">ccessibility is a </w:t>
      </w:r>
      <w:r w:rsidR="00E949A1" w:rsidRPr="00D13B67">
        <w:t>state,</w:t>
      </w:r>
      <w:r w:rsidR="003973D2" w:rsidRPr="00D13B67">
        <w:t xml:space="preserve"> but inclusion is </w:t>
      </w:r>
      <w:r w:rsidR="00817CC2" w:rsidRPr="00D13B67">
        <w:t>an action. This presents a difficulty for overworked</w:t>
      </w:r>
      <w:r w:rsidR="002A7266" w:rsidRPr="00D13B67">
        <w:t xml:space="preserve"> instructors who may not be getting</w:t>
      </w:r>
      <w:r w:rsidR="000D2BEA" w:rsidRPr="00D13B67">
        <w:rPr>
          <w:rFonts w:ascii="Aptos" w:hAnsi="Aptos"/>
        </w:rPr>
        <w:t>—</w:t>
      </w:r>
      <w:r w:rsidR="002A7266" w:rsidRPr="00D13B67">
        <w:t>or may not be aware of (when it exists)</w:t>
      </w:r>
      <w:r w:rsidR="000D2BEA" w:rsidRPr="00D13B67">
        <w:rPr>
          <w:rFonts w:ascii="Aptos" w:hAnsi="Aptos"/>
        </w:rPr>
        <w:t>—</w:t>
      </w:r>
      <w:r w:rsidR="002A7266" w:rsidRPr="00D13B67">
        <w:t>support and resources available to them. Lila also recognized the value of high-quality learning material, regardless of disability or access needs:</w:t>
      </w:r>
    </w:p>
    <w:p w14:paraId="5E65ED9B" w14:textId="0128BF7D" w:rsidR="00F22A5E" w:rsidRPr="00D13B67" w:rsidRDefault="00F22A5E" w:rsidP="00F042C9">
      <w:pPr>
        <w:pStyle w:val="Student"/>
      </w:pPr>
      <w:r w:rsidRPr="00D13B67">
        <w:t>“Something that was built to help someone else, but it also helps me . . . it benefits more than just who you’re assuming.”</w:t>
      </w:r>
    </w:p>
    <w:p w14:paraId="3C8E8C9B" w14:textId="77777777" w:rsidR="002A7266" w:rsidRPr="00D13B67" w:rsidRDefault="002A7266" w:rsidP="0080241A"/>
    <w:p w14:paraId="728F0AF6" w14:textId="7337FD1A" w:rsidR="00F53C6B" w:rsidRPr="00D13B67" w:rsidRDefault="00F53C6B" w:rsidP="0080241A">
      <w:pPr>
        <w:pStyle w:val="Body"/>
      </w:pPr>
      <w:r w:rsidRPr="00D13B67">
        <w:t>Stella explicitly asked that instructors be made aware of their responsibilities when it comes to disabled students and accommodations:</w:t>
      </w:r>
    </w:p>
    <w:p w14:paraId="3F0CE05D" w14:textId="77777777" w:rsidR="004F6258" w:rsidRPr="00D13B67" w:rsidRDefault="004F6258" w:rsidP="00F042C9">
      <w:pPr>
        <w:pStyle w:val="Student"/>
      </w:pPr>
      <w:r w:rsidRPr="00D13B67">
        <w:t xml:space="preserve">“I would really like teachers to be more educated on umm, confidentiality and what the actual standards are . . . [because] no one’s actually following the regulations . . . instructors are obviously not educated on proper protocol around </w:t>
      </w:r>
      <w:proofErr w:type="gramStart"/>
      <w:r w:rsidRPr="00D13B67">
        <w:t>disability“</w:t>
      </w:r>
      <w:proofErr w:type="gramEnd"/>
      <w:r w:rsidRPr="00D13B67">
        <w:t>.</w:t>
      </w:r>
    </w:p>
    <w:p w14:paraId="3B2BB5B4" w14:textId="77777777" w:rsidR="00F53C6B" w:rsidRPr="00D13B67" w:rsidRDefault="00F53C6B" w:rsidP="0080241A"/>
    <w:p w14:paraId="3CC24EA2" w14:textId="464D3D81" w:rsidR="00F53C6B" w:rsidRPr="00D13B67" w:rsidRDefault="00F53C6B" w:rsidP="0080241A">
      <w:pPr>
        <w:pStyle w:val="Body"/>
        <w:ind w:firstLine="0"/>
      </w:pPr>
      <w:r w:rsidRPr="00D13B67">
        <w:lastRenderedPageBreak/>
        <w:t xml:space="preserve">Stella also </w:t>
      </w:r>
      <w:r w:rsidR="00376B7D" w:rsidRPr="00D13B67">
        <w:t>highlighted that instructors are often unaware of existing resources to support them:</w:t>
      </w:r>
    </w:p>
    <w:p w14:paraId="0D49324C" w14:textId="1BD5CDEB" w:rsidR="004F6258" w:rsidRPr="00D13B67" w:rsidRDefault="004F6258" w:rsidP="00F042C9">
      <w:pPr>
        <w:pStyle w:val="Student"/>
      </w:pPr>
      <w:r w:rsidRPr="00D13B67">
        <w:t>“I know it’s very unfair to put the onus on students, but teachers just need to know that they don’t have to walk on eggshells and just that there’s other resources in the school for them to consult and they really should consult their peers before consulting the students on what they should do. You know . . . if you could use your internal resources and we have fantastic internal resources at Langara. We have you guys, we have accessibility services who are very knowledgeable, but if there was just more communication between the departments, that would be fantastic.”</w:t>
      </w:r>
    </w:p>
    <w:p w14:paraId="422E7646" w14:textId="77777777" w:rsidR="00376B7D" w:rsidRPr="00D13B67" w:rsidRDefault="00376B7D" w:rsidP="0080241A"/>
    <w:p w14:paraId="4B88C714" w14:textId="18563019" w:rsidR="004F6258" w:rsidRPr="00D13B67" w:rsidRDefault="004F6258" w:rsidP="000B6BEB">
      <w:pPr>
        <w:pStyle w:val="Body"/>
        <w:ind w:firstLine="0"/>
      </w:pPr>
      <w:r w:rsidRPr="00D13B67">
        <w:t xml:space="preserve">And, given </w:t>
      </w:r>
      <w:r w:rsidR="00376B7D" w:rsidRPr="00D13B67">
        <w:t>that</w:t>
      </w:r>
      <w:r w:rsidRPr="00D13B67">
        <w:t xml:space="preserve"> experience, </w:t>
      </w:r>
      <w:r w:rsidR="00376B7D" w:rsidRPr="00D13B67">
        <w:t>Stella asked that</w:t>
      </w:r>
      <w:r w:rsidRPr="00D13B67">
        <w:t xml:space="preserve"> institution</w:t>
      </w:r>
      <w:r w:rsidR="00376B7D" w:rsidRPr="00D13B67">
        <w:t>s</w:t>
      </w:r>
      <w:r w:rsidRPr="00D13B67">
        <w:t xml:space="preserve"> played a more significant role in ensuring content was accessible</w:t>
      </w:r>
      <w:r w:rsidR="00376B7D" w:rsidRPr="00D13B67">
        <w:t>:</w:t>
      </w:r>
    </w:p>
    <w:p w14:paraId="594A2FA4" w14:textId="77777777" w:rsidR="004F6258" w:rsidRPr="00D13B67" w:rsidRDefault="004F6258" w:rsidP="00F042C9">
      <w:pPr>
        <w:pStyle w:val="Student"/>
      </w:pPr>
      <w:r w:rsidRPr="00D13B67">
        <w:t>“A system that doesn’t reinforce it enough in instructors and tell them how important this is, and I don’t want there to be consequences, but I really want there to be some type of oversight on what the resources that the instructors are using.”</w:t>
      </w:r>
    </w:p>
    <w:p w14:paraId="7B33883B" w14:textId="77777777" w:rsidR="004F6258" w:rsidRPr="00D13B67" w:rsidRDefault="004F6258" w:rsidP="004F6258"/>
    <w:p w14:paraId="0A6E5732" w14:textId="13632B81" w:rsidR="003C3889" w:rsidRPr="00D13B67" w:rsidRDefault="00376B7D" w:rsidP="0080241A">
      <w:pPr>
        <w:pStyle w:val="Body"/>
      </w:pPr>
      <w:r w:rsidRPr="00D13B67">
        <w:t xml:space="preserve">Ultimately, Matt </w:t>
      </w:r>
      <w:r w:rsidR="003C3889" w:rsidRPr="00D13B67">
        <w:t xml:space="preserve">summed up the greatest barrier to advancing accessibility and inclusion as a lack of understanding </w:t>
      </w:r>
      <w:r w:rsidR="000B6BEB" w:rsidRPr="00D13B67">
        <w:t xml:space="preserve">about </w:t>
      </w:r>
      <w:r w:rsidR="003C3889" w:rsidRPr="00D13B67">
        <w:t>the experience of disabled students:</w:t>
      </w:r>
    </w:p>
    <w:p w14:paraId="3BB06239" w14:textId="6C3EC068" w:rsidR="004F6258" w:rsidRPr="00D13B67" w:rsidRDefault="004F6258" w:rsidP="00F042C9">
      <w:pPr>
        <w:pStyle w:val="Student"/>
      </w:pPr>
      <w:r w:rsidRPr="00D13B67">
        <w:t>“That is what’s so challenging. Open their imagination to something that they otherwise aren’t going to see . . . seeing something that is otherwise invisible for them.”</w:t>
      </w:r>
    </w:p>
    <w:p w14:paraId="227272D5" w14:textId="77777777" w:rsidR="008E25E0" w:rsidRPr="00D13B67" w:rsidRDefault="008E25E0" w:rsidP="0080241A"/>
    <w:p w14:paraId="07D2E01A" w14:textId="75570838" w:rsidR="003C3889" w:rsidRPr="00D13B67" w:rsidRDefault="003C3889" w:rsidP="0080241A">
      <w:pPr>
        <w:pStyle w:val="Body"/>
      </w:pPr>
      <w:r w:rsidRPr="00D13B67">
        <w:t xml:space="preserve">If </w:t>
      </w:r>
      <w:r w:rsidR="00620F8F" w:rsidRPr="00D13B67">
        <w:t>instructors</w:t>
      </w:r>
      <w:r w:rsidRPr="00D13B67">
        <w:t xml:space="preserve">, staff, and administrators better understood the experience of disabled students, particularly how inaccessible content greatly hindered their ability to succeed, might they be more inclined to </w:t>
      </w:r>
      <w:r w:rsidR="00620F8F" w:rsidRPr="00D13B67">
        <w:t>make the straightforward choices necessary to insure more accessible and inclusive education?</w:t>
      </w:r>
      <w:r w:rsidR="002F0395" w:rsidRPr="00D13B67">
        <w:t xml:space="preserve"> The co-designed resource </w:t>
      </w:r>
      <w:hyperlink r:id="rId12" w:history="1">
        <w:r w:rsidR="002F0395" w:rsidRPr="00D13B67">
          <w:rPr>
            <w:rStyle w:val="Hyperlink"/>
            <w:i/>
            <w:iCs/>
          </w:rPr>
          <w:t>Lost in Translation</w:t>
        </w:r>
      </w:hyperlink>
      <w:r w:rsidR="002F0395" w:rsidRPr="00D13B67">
        <w:t xml:space="preserve"> offers a starting point for post-secondary employees </w:t>
      </w:r>
      <w:r w:rsidR="00D834BB" w:rsidRPr="00D13B67">
        <w:t>to create and choose more accessible content</w:t>
      </w:r>
      <w:r w:rsidR="000B6BEB" w:rsidRPr="00D13B67">
        <w:t>.</w:t>
      </w:r>
    </w:p>
    <w:p w14:paraId="6E94F0C2" w14:textId="15CA9C12" w:rsidR="12662225" w:rsidRPr="00D13B67" w:rsidRDefault="008C7012" w:rsidP="58146045">
      <w:pPr>
        <w:pStyle w:val="Heading3"/>
      </w:pPr>
      <w:bookmarkStart w:id="48" w:name="_Toc228868001"/>
      <w:r w:rsidRPr="00D13B67">
        <w:lastRenderedPageBreak/>
        <w:t xml:space="preserve">4.2 Phase 2 </w:t>
      </w:r>
      <w:r w:rsidR="12662225" w:rsidRPr="00D13B67">
        <w:t>Staff</w:t>
      </w:r>
      <w:bookmarkEnd w:id="48"/>
    </w:p>
    <w:p w14:paraId="04ABDF1C" w14:textId="6F5AC03A" w:rsidR="008C7012" w:rsidRPr="00D13B67" w:rsidRDefault="000B4674" w:rsidP="007549B8">
      <w:pPr>
        <w:pStyle w:val="Body"/>
      </w:pPr>
      <w:r w:rsidRPr="00D13B67">
        <w:t>The second phase of research was a mixed-methods anonymous survey. Respondents (</w:t>
      </w:r>
      <w:r w:rsidRPr="00D13B67">
        <w:rPr>
          <w:i/>
        </w:rPr>
        <w:t>n</w:t>
      </w:r>
      <w:r w:rsidR="007549B8" w:rsidRPr="00D13B67">
        <w:t xml:space="preserve"> </w:t>
      </w:r>
      <w:r w:rsidRPr="00D13B67">
        <w:t>=</w:t>
      </w:r>
      <w:r w:rsidR="007549B8" w:rsidRPr="00D13B67">
        <w:t xml:space="preserve"> </w:t>
      </w:r>
      <w:r w:rsidRPr="00D13B67">
        <w:t xml:space="preserve">7) answered </w:t>
      </w:r>
      <w:r w:rsidR="000A1626" w:rsidRPr="00D13B67">
        <w:t>Likert scale</w:t>
      </w:r>
      <w:r w:rsidRPr="00D13B67">
        <w:t xml:space="preserve"> questions regarding their response to </w:t>
      </w:r>
      <w:hyperlink r:id="rId13" w:history="1">
        <w:r w:rsidR="00947330" w:rsidRPr="00D13B67">
          <w:rPr>
            <w:rStyle w:val="Hyperlink"/>
            <w:i/>
            <w:iCs/>
          </w:rPr>
          <w:t>Lost in Translation</w:t>
        </w:r>
      </w:hyperlink>
      <w:r w:rsidR="00947330" w:rsidRPr="00D13B67">
        <w:t xml:space="preserve"> </w:t>
      </w:r>
      <w:r w:rsidRPr="00D13B67">
        <w:t xml:space="preserve">with an option to provide an open-ended text response. From this survey, </w:t>
      </w:r>
      <w:r w:rsidR="008C7012" w:rsidRPr="00D13B67">
        <w:t xml:space="preserve">71% </w:t>
      </w:r>
      <w:r w:rsidRPr="00D13B67">
        <w:t>of respondents</w:t>
      </w:r>
      <w:r w:rsidR="008C7012" w:rsidRPr="00D13B67">
        <w:t xml:space="preserve"> found the resource extremely compelling, while 29% found the resource moderately engaging</w:t>
      </w:r>
      <w:r w:rsidRPr="00D13B67">
        <w:t>.</w:t>
      </w:r>
    </w:p>
    <w:p w14:paraId="7CD07018" w14:textId="04B431C1" w:rsidR="002C0ED2" w:rsidRPr="00D13B67" w:rsidRDefault="002C0ED2" w:rsidP="007D3DBB">
      <w:pPr>
        <w:pStyle w:val="Body"/>
      </w:pPr>
      <w:r w:rsidRPr="00D13B67">
        <w:t xml:space="preserve">Of each theme, </w:t>
      </w:r>
      <w:r w:rsidR="007E44E1" w:rsidRPr="00D13B67">
        <w:t xml:space="preserve">43% found </w:t>
      </w:r>
      <w:r w:rsidR="00774109" w:rsidRPr="00D13B67">
        <w:t>the Formats material</w:t>
      </w:r>
      <w:r w:rsidR="007E44E1" w:rsidRPr="00D13B67">
        <w:t xml:space="preserve"> extremely impactful with an additional 43% considering it very impactful</w:t>
      </w:r>
      <w:r w:rsidR="00D24004" w:rsidRPr="00D13B67">
        <w:t xml:space="preserve"> and 14% indicating it was somewhat impactful. </w:t>
      </w:r>
      <w:r w:rsidRPr="00D13B67">
        <w:t>71</w:t>
      </w:r>
      <w:r w:rsidR="007E7ED1" w:rsidRPr="00D13B67">
        <w:t xml:space="preserve">% </w:t>
      </w:r>
      <w:r w:rsidR="00774109" w:rsidRPr="00D13B67">
        <w:t>considered the</w:t>
      </w:r>
      <w:r w:rsidR="007E7ED1" w:rsidRPr="00D13B67">
        <w:t xml:space="preserve"> </w:t>
      </w:r>
      <w:r w:rsidR="007E44E1" w:rsidRPr="00D13B67">
        <w:t>Student Experience</w:t>
      </w:r>
      <w:r w:rsidR="007E7ED1" w:rsidRPr="00D13B67">
        <w:t xml:space="preserve"> </w:t>
      </w:r>
      <w:r w:rsidR="00774109" w:rsidRPr="00D13B67">
        <w:t xml:space="preserve">content </w:t>
      </w:r>
      <w:r w:rsidR="007E7ED1" w:rsidRPr="00D13B67">
        <w:t>extremely impactful with 14% finding it very impactful and 14%</w:t>
      </w:r>
      <w:r w:rsidR="007E44E1" w:rsidRPr="00D13B67">
        <w:t xml:space="preserve"> considering it somewhat impactful. </w:t>
      </w:r>
      <w:r w:rsidR="00D24004" w:rsidRPr="00D13B67">
        <w:t>The Time theme had splits of 43% extremely impactful, 43% very impactful, and 14% somewhat impactful.</w:t>
      </w:r>
      <w:r w:rsidR="00AB04C6" w:rsidRPr="00D13B67">
        <w:t xml:space="preserve"> For the Solutions theme, 29% considered it extremely impactful, 43% found it very impactful, 14%</w:t>
      </w:r>
      <w:r w:rsidR="009A285E" w:rsidRPr="00D13B67">
        <w:t xml:space="preserve"> marked the Solutions as somewhat impactful, while 14% </w:t>
      </w:r>
      <w:r w:rsidR="00947330" w:rsidRPr="00D13B67">
        <w:t>indicated it was</w:t>
      </w:r>
      <w:r w:rsidR="00EA32C6" w:rsidRPr="00D13B67">
        <w:t xml:space="preserve"> not impactful.</w:t>
      </w:r>
      <w:r w:rsidR="007D2624" w:rsidRPr="00D13B67">
        <w:t xml:space="preserve"> Solutions was the sole theme to be marked as not impactful</w:t>
      </w:r>
      <w:r w:rsidR="00DB5410" w:rsidRPr="00D13B67">
        <w:t xml:space="preserve"> by any respondent. </w:t>
      </w:r>
    </w:p>
    <w:p w14:paraId="540FCAEF" w14:textId="6E0A7564" w:rsidR="00A70CCC" w:rsidRPr="00D13B67" w:rsidRDefault="00A70CCC" w:rsidP="00FE29F2">
      <w:pPr>
        <w:pStyle w:val="Caption"/>
      </w:pPr>
      <w:bookmarkStart w:id="49" w:name="_Toc228868018"/>
      <w:r w:rsidRPr="00D13B67">
        <w:t xml:space="preserve">Figure </w:t>
      </w:r>
      <w:r w:rsidR="00991109">
        <w:fldChar w:fldCharType="begin"/>
      </w:r>
      <w:r w:rsidR="00991109">
        <w:instrText xml:space="preserve"> SEQ Figure \* ARABIC </w:instrText>
      </w:r>
      <w:r w:rsidR="00991109">
        <w:fldChar w:fldCharType="separate"/>
      </w:r>
      <w:r w:rsidR="00805E71">
        <w:rPr>
          <w:noProof/>
        </w:rPr>
        <w:t>2</w:t>
      </w:r>
      <w:r w:rsidR="00991109">
        <w:fldChar w:fldCharType="end"/>
      </w:r>
      <w:r w:rsidRPr="00D13B67">
        <w:t>: Perceived impact of each theme</w:t>
      </w:r>
      <w:bookmarkEnd w:id="49"/>
    </w:p>
    <w:p w14:paraId="58E0169E" w14:textId="77777777" w:rsidR="00AB2875" w:rsidRPr="00D13B67" w:rsidRDefault="00AB2875" w:rsidP="0080241A">
      <w:r w:rsidRPr="00D13B67">
        <w:rPr>
          <w:noProof/>
        </w:rPr>
        <w:drawing>
          <wp:inline distT="0" distB="0" distL="0" distR="0" wp14:anchorId="311252FF" wp14:editId="7CC634AD">
            <wp:extent cx="5943600" cy="2165350"/>
            <wp:effectExtent l="19050" t="19050" r="19050" b="25400"/>
            <wp:docPr id="1192590376" name="Picture 1" descr="P49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90376" name="Picture 1" descr="P491#yIS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0133" cy="2171373"/>
                    </a:xfrm>
                    <a:prstGeom prst="rect">
                      <a:avLst/>
                    </a:prstGeom>
                    <a:ln>
                      <a:solidFill>
                        <a:schemeClr val="tx1"/>
                      </a:solidFill>
                    </a:ln>
                  </pic:spPr>
                </pic:pic>
              </a:graphicData>
            </a:graphic>
          </wp:inline>
        </w:drawing>
      </w:r>
    </w:p>
    <w:p w14:paraId="7939FD5E" w14:textId="21A80DA1" w:rsidR="00E2416F" w:rsidRPr="00D13B67" w:rsidRDefault="00B27299" w:rsidP="00FB13CF">
      <w:pPr>
        <w:pStyle w:val="Body"/>
        <w:spacing w:before="240"/>
      </w:pPr>
      <w:r w:rsidRPr="00D13B67">
        <w:lastRenderedPageBreak/>
        <w:t xml:space="preserve">71% </w:t>
      </w:r>
      <w:r w:rsidR="00B5649A" w:rsidRPr="00D13B67">
        <w:t>of respondents</w:t>
      </w:r>
      <w:r w:rsidRPr="00D13B67">
        <w:t xml:space="preserve"> indicated that after viewing </w:t>
      </w:r>
      <w:r w:rsidR="008D4D94" w:rsidRPr="00D13B67">
        <w:t>the</w:t>
      </w:r>
      <w:r w:rsidRPr="00D13B67">
        <w:t xml:space="preserve"> resource their interest in choosing and creating accessible digital material increased significantly, with 14% reporting their interest had increased slightly, and 14% reporting their interest remained the same.</w:t>
      </w:r>
      <w:r w:rsidR="00FB13CF" w:rsidRPr="00D13B67">
        <w:t xml:space="preserve"> </w:t>
      </w:r>
      <w:r w:rsidR="00B03CE9" w:rsidRPr="00D13B67">
        <w:t>When asked</w:t>
      </w:r>
      <w:r w:rsidR="00E2416F" w:rsidRPr="00D13B67">
        <w:t xml:space="preserve"> </w:t>
      </w:r>
      <w:r w:rsidR="00E8384A" w:rsidRPr="00D13B67">
        <w:t xml:space="preserve">what might prevent employees from creating and choosing more accessible content, 29% indicated time, 14% </w:t>
      </w:r>
      <w:r w:rsidR="00F24662" w:rsidRPr="00D13B67">
        <w:t>noted not knowing what is and is</w:t>
      </w:r>
      <w:r w:rsidR="00B5649A" w:rsidRPr="00D13B67">
        <w:t xml:space="preserve"> not</w:t>
      </w:r>
      <w:r w:rsidR="00F24662" w:rsidRPr="00D13B67">
        <w:t xml:space="preserve"> accessible, 14% indicated difficulty in finding accessible content, </w:t>
      </w:r>
      <w:r w:rsidR="003F1B39" w:rsidRPr="00D13B67">
        <w:t xml:space="preserve">21% noted they may not have the technical skills required, and 14% </w:t>
      </w:r>
      <w:r w:rsidR="00B433C0" w:rsidRPr="00D13B67">
        <w:t xml:space="preserve">marked technology limitations as a factor. One respondent chose ‘other’ and </w:t>
      </w:r>
      <w:r w:rsidR="008D4D94" w:rsidRPr="00D13B67">
        <w:t>included</w:t>
      </w:r>
      <w:r w:rsidR="00B433C0" w:rsidRPr="00D13B67">
        <w:t xml:space="preserve"> </w:t>
      </w:r>
      <w:r w:rsidR="00A71675" w:rsidRPr="00D13B67">
        <w:t>"limitations in protecting intellectual property"</w:t>
      </w:r>
      <w:r w:rsidRPr="00D13B67">
        <w:t xml:space="preserve"> </w:t>
      </w:r>
      <w:r w:rsidR="008D4D94" w:rsidRPr="00D13B67">
        <w:t>in</w:t>
      </w:r>
      <w:r w:rsidRPr="00D13B67">
        <w:t xml:space="preserve"> their response.</w:t>
      </w:r>
    </w:p>
    <w:p w14:paraId="764E537D" w14:textId="0CA9BA86" w:rsidR="00A70CCC" w:rsidRPr="00D13B67" w:rsidRDefault="00A70CCC" w:rsidP="00FE29F2">
      <w:pPr>
        <w:pStyle w:val="Caption"/>
      </w:pPr>
      <w:bookmarkStart w:id="50" w:name="_Toc228868019"/>
      <w:r w:rsidRPr="00D13B67">
        <w:t xml:space="preserve">Figure </w:t>
      </w:r>
      <w:r w:rsidR="00991109">
        <w:fldChar w:fldCharType="begin"/>
      </w:r>
      <w:r w:rsidR="00991109">
        <w:instrText xml:space="preserve"> SEQ Figure \* ARABIC </w:instrText>
      </w:r>
      <w:r w:rsidR="00991109">
        <w:fldChar w:fldCharType="separate"/>
      </w:r>
      <w:r w:rsidR="00805E71">
        <w:rPr>
          <w:noProof/>
        </w:rPr>
        <w:t>3</w:t>
      </w:r>
      <w:r w:rsidR="00991109">
        <w:fldChar w:fldCharType="end"/>
      </w:r>
      <w:r w:rsidRPr="00D13B67">
        <w:t>: Influences on employees’ capacity to create and choose more accessible content</w:t>
      </w:r>
      <w:bookmarkEnd w:id="50"/>
    </w:p>
    <w:p w14:paraId="4C3BAB1E" w14:textId="469C6776" w:rsidR="00E2416F" w:rsidRPr="00D13B67" w:rsidRDefault="00E2416F" w:rsidP="0080241A">
      <w:r w:rsidRPr="00D13B67">
        <w:rPr>
          <w:noProof/>
        </w:rPr>
        <w:drawing>
          <wp:inline distT="0" distB="0" distL="0" distR="0" wp14:anchorId="259DBCC0" wp14:editId="57948F32">
            <wp:extent cx="5943600" cy="2165350"/>
            <wp:effectExtent l="19050" t="19050" r="19050" b="25400"/>
            <wp:docPr id="220564299" name="Picture 2" descr="P49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64299" name="Picture 2" descr="P494#yIS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65350"/>
                    </a:xfrm>
                    <a:prstGeom prst="rect">
                      <a:avLst/>
                    </a:prstGeom>
                    <a:ln>
                      <a:solidFill>
                        <a:schemeClr val="tx1"/>
                      </a:solidFill>
                    </a:ln>
                  </pic:spPr>
                </pic:pic>
              </a:graphicData>
            </a:graphic>
          </wp:inline>
        </w:drawing>
      </w:r>
    </w:p>
    <w:p w14:paraId="76DAF328" w14:textId="77777777" w:rsidR="004A018E" w:rsidRPr="00D13B67" w:rsidRDefault="00B27299" w:rsidP="004A018E">
      <w:pPr>
        <w:pStyle w:val="Body"/>
        <w:spacing w:before="240"/>
      </w:pPr>
      <w:r w:rsidRPr="00D13B67">
        <w:t>Regarding the</w:t>
      </w:r>
      <w:r w:rsidR="00FB13CF" w:rsidRPr="00D13B67">
        <w:t xml:space="preserve"> usefulness of</w:t>
      </w:r>
      <w:r w:rsidRPr="00D13B67">
        <w:t xml:space="preserve"> the </w:t>
      </w:r>
      <w:r w:rsidR="00A71675" w:rsidRPr="00D13B67">
        <w:t>resource</w:t>
      </w:r>
      <w:r w:rsidRPr="00D13B67">
        <w:t xml:space="preserve">, </w:t>
      </w:r>
      <w:r w:rsidR="008C7012" w:rsidRPr="00D13B67">
        <w:t>57% of respondents considered the resource extremely useful, while 29% found it somewhat useful</w:t>
      </w:r>
      <w:r w:rsidR="00134D9C" w:rsidRPr="00D13B67">
        <w:t>, with 1 respondent finding it “not at all useful.”</w:t>
      </w:r>
    </w:p>
    <w:p w14:paraId="6DBD86AC" w14:textId="17F0402E" w:rsidR="000A5855" w:rsidRPr="00D13B67" w:rsidRDefault="00C92435" w:rsidP="004A018E">
      <w:pPr>
        <w:pStyle w:val="Body"/>
      </w:pPr>
      <w:r w:rsidRPr="00D13B67">
        <w:t>Ultimately, 85% of respondents indicated their interest in digital accessibility increased after viewing the resource.</w:t>
      </w:r>
      <w:r w:rsidR="00A81E94" w:rsidRPr="00D13B67">
        <w:t xml:space="preserve"> This presents strong evidence that considering student perspectives </w:t>
      </w:r>
      <w:r w:rsidR="00500665" w:rsidRPr="00D13B67">
        <w:t xml:space="preserve">influences post-secondary employees’ interest in creating more </w:t>
      </w:r>
      <w:r w:rsidR="00500665" w:rsidRPr="00D13B67">
        <w:lastRenderedPageBreak/>
        <w:t xml:space="preserve">accessible content and experiences. Determining how to best assist post-secondary employees in creating and choosing more accessible digital learning material remains an avenue for further study. </w:t>
      </w:r>
    </w:p>
    <w:p w14:paraId="7A03AC3B" w14:textId="66412F21" w:rsidR="008C7012" w:rsidRPr="00D13B67" w:rsidRDefault="00767389" w:rsidP="0080241A">
      <w:pPr>
        <w:pStyle w:val="Heading4"/>
      </w:pPr>
      <w:bookmarkStart w:id="51" w:name="_Toc228868002"/>
      <w:r w:rsidRPr="00D13B67">
        <w:t>Text Responses</w:t>
      </w:r>
      <w:bookmarkEnd w:id="51"/>
    </w:p>
    <w:p w14:paraId="51DF9140" w14:textId="0E3004F6" w:rsidR="00DC55D7" w:rsidRPr="00D13B67" w:rsidRDefault="00767389" w:rsidP="0080241A">
      <w:pPr>
        <w:pStyle w:val="Body"/>
      </w:pPr>
      <w:r w:rsidRPr="00D13B67">
        <w:t>Some</w:t>
      </w:r>
      <w:r w:rsidR="004A018E" w:rsidRPr="00D13B67">
        <w:t xml:space="preserve"> (</w:t>
      </w:r>
      <w:r w:rsidR="004A018E" w:rsidRPr="00D13B67">
        <w:rPr>
          <w:i/>
        </w:rPr>
        <w:t>n</w:t>
      </w:r>
      <w:r w:rsidR="004A018E" w:rsidRPr="00D13B67">
        <w:t xml:space="preserve"> = 3)</w:t>
      </w:r>
      <w:r w:rsidRPr="00D13B67">
        <w:t xml:space="preserve"> </w:t>
      </w:r>
      <w:r w:rsidR="003033EC" w:rsidRPr="00D13B67">
        <w:t xml:space="preserve">survey </w:t>
      </w:r>
      <w:r w:rsidRPr="00D13B67">
        <w:t xml:space="preserve">respondents </w:t>
      </w:r>
      <w:r w:rsidR="00363405" w:rsidRPr="00D13B67">
        <w:t xml:space="preserve">provided text in response to the final question: “Anything specific you'd like to see, an idea we missed, or something you'd improve?” One called the resource “extremely effective” noting that “saying [accessibility] is legislated doesn’t seem to have the impact reading [student] quotes definitely does.” </w:t>
      </w:r>
      <w:r w:rsidR="000B5FAB" w:rsidRPr="00D13B67">
        <w:t>According to one respondent t</w:t>
      </w:r>
      <w:r w:rsidR="00363405" w:rsidRPr="00D13B67">
        <w:t>he stories</w:t>
      </w:r>
      <w:r w:rsidR="000B5FAB" w:rsidRPr="00D13B67">
        <w:t xml:space="preserve"> bring</w:t>
      </w:r>
      <w:r w:rsidR="004B4E81" w:rsidRPr="00D13B67">
        <w:t xml:space="preserve"> “</w:t>
      </w:r>
      <w:r w:rsidR="00363405" w:rsidRPr="00D13B67">
        <w:t>a gravity to the need to provide more accessible documents.</w:t>
      </w:r>
      <w:r w:rsidR="0054635C" w:rsidRPr="00D13B67">
        <w:t>”</w:t>
      </w:r>
      <w:r w:rsidR="00DC55D7" w:rsidRPr="00D13B67">
        <w:t xml:space="preserve"> </w:t>
      </w:r>
      <w:r w:rsidR="001F5D36" w:rsidRPr="00D13B67">
        <w:t>Another respondent indicated their gratitude for the resource and expressed a hope that it would help “better accommodate folks with perceptual disabilities.” The first</w:t>
      </w:r>
      <w:r w:rsidR="00DC55D7" w:rsidRPr="00D13B67">
        <w:t xml:space="preserve"> </w:t>
      </w:r>
      <w:r w:rsidR="00363405" w:rsidRPr="00D13B67">
        <w:t xml:space="preserve">respondent also indicated that </w:t>
      </w:r>
      <w:r w:rsidR="0003566A" w:rsidRPr="00D13B67">
        <w:t xml:space="preserve">they </w:t>
      </w:r>
      <w:r w:rsidR="00363405" w:rsidRPr="00D13B67">
        <w:t>were “pleasantly surprised to learn how effective Word is, which makes me feel the learning curve isn't that steep.”</w:t>
      </w:r>
      <w:r w:rsidR="00DC55D7" w:rsidRPr="00D13B67">
        <w:t xml:space="preserve"> </w:t>
      </w:r>
      <w:r w:rsidR="00004787" w:rsidRPr="00D13B67">
        <w:t xml:space="preserve">These responses reflected the positive indicators to the quantitative </w:t>
      </w:r>
      <w:r w:rsidR="00820DF1" w:rsidRPr="00D13B67">
        <w:t xml:space="preserve">survey </w:t>
      </w:r>
      <w:r w:rsidR="00004787" w:rsidRPr="00D13B67">
        <w:t>questions.</w:t>
      </w:r>
    </w:p>
    <w:p w14:paraId="58AAA4C4" w14:textId="5261F43C" w:rsidR="001B17BD" w:rsidRPr="00D13B67" w:rsidRDefault="000A5C6A" w:rsidP="001B17BD">
      <w:pPr>
        <w:pStyle w:val="Body"/>
      </w:pPr>
      <w:r w:rsidRPr="00D13B67">
        <w:t>One survey</w:t>
      </w:r>
      <w:r w:rsidR="00A57F9E" w:rsidRPr="00D13B67">
        <w:t xml:space="preserve"> respondent provided a lengthy text response</w:t>
      </w:r>
      <w:r w:rsidR="00D7304D" w:rsidRPr="00D13B67">
        <w:t xml:space="preserve"> which</w:t>
      </w:r>
      <w:r w:rsidR="002F4364" w:rsidRPr="00D13B67">
        <w:t>, while in some places</w:t>
      </w:r>
      <w:r w:rsidR="00D7304D" w:rsidRPr="00D13B67">
        <w:t xml:space="preserve"> an emotional plea for additional support from the institution</w:t>
      </w:r>
      <w:r w:rsidR="002F4364" w:rsidRPr="00D13B67">
        <w:t>, also included troubling examples of academic ableism</w:t>
      </w:r>
      <w:r w:rsidR="00FC0A60" w:rsidRPr="00D13B67">
        <w:t xml:space="preserve"> and lack of concern for student perspectives. </w:t>
      </w:r>
      <w:r w:rsidRPr="00D13B67">
        <w:t>The</w:t>
      </w:r>
      <w:r w:rsidR="00FC0A60" w:rsidRPr="00D13B67">
        <w:t xml:space="preserve"> respondent wrote that</w:t>
      </w:r>
      <w:r w:rsidR="00171D93" w:rsidRPr="00D13B67">
        <w:t xml:space="preserve"> they “found the tone of this resource condescending</w:t>
      </w:r>
      <w:r w:rsidRPr="00D13B67">
        <w:t>”</w:t>
      </w:r>
      <w:r w:rsidR="00171D93" w:rsidRPr="00D13B67">
        <w:t xml:space="preserve"> and </w:t>
      </w:r>
      <w:r w:rsidRPr="00D13B67">
        <w:t>had</w:t>
      </w:r>
      <w:r w:rsidR="00171D93" w:rsidRPr="00D13B67">
        <w:t xml:space="preserve"> </w:t>
      </w:r>
      <w:r w:rsidRPr="00D13B67">
        <w:t>“</w:t>
      </w:r>
      <w:r w:rsidR="00171D93" w:rsidRPr="00D13B67">
        <w:t xml:space="preserve">the impression that the authors think all instructors at Langara are lazy and do not care about students.” It is </w:t>
      </w:r>
      <w:r w:rsidRPr="00D13B67">
        <w:t>unclear</w:t>
      </w:r>
      <w:r w:rsidR="00171D93" w:rsidRPr="00D13B67">
        <w:t xml:space="preserve"> if </w:t>
      </w:r>
      <w:r w:rsidRPr="00D13B67">
        <w:t>the</w:t>
      </w:r>
      <w:r w:rsidR="00171D93" w:rsidRPr="00D13B67">
        <w:t xml:space="preserve"> respondent understood the resource was </w:t>
      </w:r>
      <w:r w:rsidR="0068522D" w:rsidRPr="00D13B67">
        <w:t>90% direct</w:t>
      </w:r>
      <w:r w:rsidR="00171D93" w:rsidRPr="00D13B67">
        <w:t xml:space="preserve"> quotes from current and former </w:t>
      </w:r>
      <w:r w:rsidR="0068522D" w:rsidRPr="00D13B67">
        <w:t xml:space="preserve">Langara </w:t>
      </w:r>
      <w:r w:rsidR="00171D93" w:rsidRPr="00D13B67">
        <w:t>students</w:t>
      </w:r>
      <w:r w:rsidR="0068522D" w:rsidRPr="00D13B67">
        <w:t>.</w:t>
      </w:r>
      <w:r w:rsidR="005154EA" w:rsidRPr="00D13B67">
        <w:t xml:space="preserve"> </w:t>
      </w:r>
    </w:p>
    <w:p w14:paraId="00AFDBA3" w14:textId="40F05F9E" w:rsidR="00014384" w:rsidRPr="00D13B67" w:rsidRDefault="00171D93" w:rsidP="001B17BD">
      <w:pPr>
        <w:pStyle w:val="Body"/>
      </w:pPr>
      <w:r w:rsidRPr="00D13B67">
        <w:lastRenderedPageBreak/>
        <w:t xml:space="preserve">The respondent </w:t>
      </w:r>
      <w:r w:rsidR="00F8297C" w:rsidRPr="00D13B67">
        <w:t xml:space="preserve">may have </w:t>
      </w:r>
      <w:r w:rsidR="003B15FE" w:rsidRPr="00D13B67">
        <w:t>fixated on</w:t>
      </w:r>
      <w:r w:rsidR="00F8297C" w:rsidRPr="00D13B67">
        <w:t xml:space="preserve"> the quotes from Stella and Matt that used the word lazy when referring to some instructors</w:t>
      </w:r>
      <w:r w:rsidR="0092525B" w:rsidRPr="00D13B67">
        <w:t xml:space="preserve">. However, Stella’s full quote </w:t>
      </w:r>
      <w:r w:rsidR="0018180E" w:rsidRPr="00D13B67">
        <w:t>(included in</w:t>
      </w:r>
      <w:r w:rsidR="00A74112" w:rsidRPr="00D13B67">
        <w:t xml:space="preserve"> </w:t>
      </w:r>
      <w:hyperlink r:id="rId16" w:history="1">
        <w:r w:rsidR="00A74112" w:rsidRPr="00D13B67">
          <w:rPr>
            <w:rStyle w:val="Hyperlink"/>
            <w:i/>
            <w:iCs/>
          </w:rPr>
          <w:t>Lost in Translation</w:t>
        </w:r>
      </w:hyperlink>
      <w:r w:rsidR="0018180E" w:rsidRPr="00D13B67">
        <w:t xml:space="preserve">) </w:t>
      </w:r>
      <w:r w:rsidR="0092525B" w:rsidRPr="00D13B67">
        <w:t xml:space="preserve">also </w:t>
      </w:r>
      <w:r w:rsidR="0018180E" w:rsidRPr="00D13B67">
        <w:t>stated that</w:t>
      </w:r>
      <w:r w:rsidR="0092525B" w:rsidRPr="00D13B67">
        <w:t xml:space="preserve"> “I don’t want to blame them because they’re underpaid and they’re overworked” while Matt said “Is that really their fault? </w:t>
      </w:r>
      <w:r w:rsidR="00E25E8E" w:rsidRPr="00D13B67">
        <w:t>The instructor? No, because they’re in a world where they’re not paid enough to do what they’re doing. They’re exploited</w:t>
      </w:r>
      <w:r w:rsidR="00A74112" w:rsidRPr="00D13B67">
        <w:t xml:space="preserve"> . . .</w:t>
      </w:r>
      <w:r w:rsidR="00E25E8E" w:rsidRPr="00D13B67">
        <w:t xml:space="preserve"> most of them.” </w:t>
      </w:r>
      <w:r w:rsidR="00014384" w:rsidRPr="00D13B67">
        <w:t>While the respondent felt attacked by the term lazy, they failed to realize that the student co-designers empathize with them.</w:t>
      </w:r>
    </w:p>
    <w:p w14:paraId="52DA9357" w14:textId="41C8754F" w:rsidR="0066230E" w:rsidRPr="00D13B67" w:rsidRDefault="001B17BD" w:rsidP="005F34E3">
      <w:pPr>
        <w:pStyle w:val="Body"/>
      </w:pPr>
      <w:r w:rsidRPr="00D13B67">
        <w:t>In the context of</w:t>
      </w:r>
      <w:r w:rsidR="0035594F" w:rsidRPr="00D13B67">
        <w:t xml:space="preserve"> accessible digital learning material, t</w:t>
      </w:r>
      <w:r w:rsidR="004F69E1" w:rsidRPr="00D13B67">
        <w:t>he</w:t>
      </w:r>
      <w:r w:rsidR="00171D93" w:rsidRPr="00D13B67">
        <w:t xml:space="preserve"> respondent </w:t>
      </w:r>
      <w:r w:rsidR="00A74112" w:rsidRPr="00D13B67">
        <w:t>may be</w:t>
      </w:r>
      <w:r w:rsidR="00171D93" w:rsidRPr="00D13B67">
        <w:t xml:space="preserve"> under the impression that making content accessible </w:t>
      </w:r>
      <w:r w:rsidR="00A74112" w:rsidRPr="00D13B67">
        <w:t>is</w:t>
      </w:r>
      <w:r w:rsidR="00171D93" w:rsidRPr="00D13B67">
        <w:t xml:space="preserve"> a significant extra burden</w:t>
      </w:r>
      <w:r w:rsidR="00A74112" w:rsidRPr="00D13B67">
        <w:t xml:space="preserve"> as they state </w:t>
      </w:r>
      <w:hyperlink r:id="rId17" w:history="1">
        <w:r w:rsidR="00A74112" w:rsidRPr="00D13B67">
          <w:rPr>
            <w:rStyle w:val="Hyperlink"/>
            <w:i/>
            <w:iCs/>
          </w:rPr>
          <w:t>Lost in Translation</w:t>
        </w:r>
      </w:hyperlink>
      <w:r w:rsidR="00A74112" w:rsidRPr="00D13B67">
        <w:t xml:space="preserve"> is</w:t>
      </w:r>
      <w:r w:rsidR="00171D93" w:rsidRPr="00D13B67">
        <w:t xml:space="preserve"> “without any acknowledgement of the added time on an instructor's workload to make materials accessible.” </w:t>
      </w:r>
      <w:r w:rsidR="00635D78" w:rsidRPr="00D13B67">
        <w:t xml:space="preserve">While the remediation of inaccessible content </w:t>
      </w:r>
      <w:r w:rsidR="005F34E3" w:rsidRPr="00D13B67">
        <w:t>is additional work that requires significant time and expertise, creating accessible content takes no more time than creating inaccessible content (Case &amp; Davidson, 2011</w:t>
      </w:r>
      <w:r w:rsidR="00EF3040" w:rsidRPr="00D13B67">
        <w:t>; Gifford, 2024</w:t>
      </w:r>
      <w:r w:rsidR="005F34E3" w:rsidRPr="00D13B67">
        <w:t xml:space="preserve">). </w:t>
      </w:r>
      <w:r w:rsidR="00171D93" w:rsidRPr="00D13B67">
        <w:t xml:space="preserve">The respondent also </w:t>
      </w:r>
      <w:r w:rsidR="00230845" w:rsidRPr="00D13B67">
        <w:t>puts forth that</w:t>
      </w:r>
      <w:r w:rsidR="00171D93" w:rsidRPr="00D13B67">
        <w:t xml:space="preserve"> “</w:t>
      </w:r>
      <w:r w:rsidR="00230845" w:rsidRPr="00D13B67">
        <w:t>t</w:t>
      </w:r>
      <w:r w:rsidR="00171D93" w:rsidRPr="00D13B67">
        <w:t xml:space="preserve">here is NO institutional recognition of the additional burden </w:t>
      </w:r>
      <w:proofErr w:type="gramStart"/>
      <w:r w:rsidR="00171D93" w:rsidRPr="00D13B67">
        <w:t>this places</w:t>
      </w:r>
      <w:proofErr w:type="gramEnd"/>
      <w:r w:rsidR="00171D93" w:rsidRPr="00D13B67">
        <w:t xml:space="preserve"> on us and very little meaningful support</w:t>
      </w:r>
      <w:r w:rsidR="00230845" w:rsidRPr="00D13B67">
        <w:t>.</w:t>
      </w:r>
      <w:r w:rsidR="00171D93" w:rsidRPr="00D13B67">
        <w:t>”</w:t>
      </w:r>
      <w:r w:rsidR="00230845" w:rsidRPr="00D13B67">
        <w:t xml:space="preserve"> However, Langara College has an Accessibility Services department dedicated to support</w:t>
      </w:r>
      <w:r w:rsidRPr="00D13B67">
        <w:t>ing</w:t>
      </w:r>
      <w:r w:rsidR="00230845" w:rsidRPr="00D13B67">
        <w:t xml:space="preserve"> students and staff with accessibility related </w:t>
      </w:r>
      <w:r w:rsidR="00E82A85" w:rsidRPr="00D13B67">
        <w:t xml:space="preserve">issues, access to CAPER-BC (Centre for Accessible Post-secondary Education Resources) which offers remediation services, </w:t>
      </w:r>
      <w:r w:rsidR="00516F21" w:rsidRPr="00D13B67">
        <w:t>and an Educational Technology department that offers workshops and</w:t>
      </w:r>
      <w:r w:rsidR="00171D93" w:rsidRPr="00D13B67">
        <w:t xml:space="preserve"> asynchronous </w:t>
      </w:r>
      <w:r w:rsidR="00516F21" w:rsidRPr="00D13B67">
        <w:t>resources on digital accessibility</w:t>
      </w:r>
      <w:r w:rsidR="004E1405">
        <w:t xml:space="preserve">. </w:t>
      </w:r>
      <w:r w:rsidR="005B66DD" w:rsidRPr="00D13B67">
        <w:t>As the survey was anonymous, t</w:t>
      </w:r>
      <w:r w:rsidR="00671024" w:rsidRPr="00D13B67">
        <w:t>he authors of this report could not confirm if this respondent had ever engaged with support services</w:t>
      </w:r>
      <w:r w:rsidR="00033843" w:rsidRPr="00D13B67">
        <w:t xml:space="preserve">, or if they had, </w:t>
      </w:r>
      <w:r w:rsidR="005B66DD" w:rsidRPr="00D13B67">
        <w:t>whether</w:t>
      </w:r>
      <w:r w:rsidR="00033843" w:rsidRPr="00D13B67">
        <w:t xml:space="preserve"> they found the support ‘meaningful.’</w:t>
      </w:r>
    </w:p>
    <w:p w14:paraId="7D3F0D26" w14:textId="0041B54B" w:rsidR="00525023" w:rsidRPr="00D13B67" w:rsidRDefault="001663DC" w:rsidP="00A40969">
      <w:pPr>
        <w:pStyle w:val="Body"/>
      </w:pPr>
      <w:r w:rsidRPr="00D13B67">
        <w:lastRenderedPageBreak/>
        <w:t xml:space="preserve">This </w:t>
      </w:r>
      <w:r w:rsidR="00D65083" w:rsidRPr="00D13B67">
        <w:t xml:space="preserve">respondent </w:t>
      </w:r>
      <w:r w:rsidRPr="00D13B67">
        <w:t>continued</w:t>
      </w:r>
      <w:r w:rsidR="00D65083" w:rsidRPr="00D13B67">
        <w:t xml:space="preserve"> that </w:t>
      </w:r>
      <w:r w:rsidR="00D967B8" w:rsidRPr="00D13B67">
        <w:t>“</w:t>
      </w:r>
      <w:r w:rsidRPr="00D13B67">
        <w:t>i</w:t>
      </w:r>
      <w:r w:rsidR="00D967B8" w:rsidRPr="00D13B67">
        <w:t xml:space="preserve">f the purpose of this is to help instructors, you may want to try an approach that recognizes that </w:t>
      </w:r>
      <w:r w:rsidR="00D967B8" w:rsidRPr="00D13B67">
        <w:rPr>
          <w:b/>
        </w:rPr>
        <w:t xml:space="preserve">you are adding a similar burden on them </w:t>
      </w:r>
      <w:r w:rsidR="00D967B8" w:rsidRPr="00D13B67">
        <w:t>to that you are describing for the students”</w:t>
      </w:r>
      <w:r w:rsidR="00D65083" w:rsidRPr="00D13B67">
        <w:t xml:space="preserve"> [emphasis add</w:t>
      </w:r>
      <w:r w:rsidRPr="00D13B67">
        <w:t>ed</w:t>
      </w:r>
      <w:r w:rsidR="00D65083" w:rsidRPr="00D13B67">
        <w:t xml:space="preserve">]. </w:t>
      </w:r>
      <w:r w:rsidR="00D67A16" w:rsidRPr="00D13B67">
        <w:t>As discussed above, the respondent may not be familiar with the differences between remediation and creating and choosing accessible content. However,</w:t>
      </w:r>
      <w:r w:rsidR="005B66DD" w:rsidRPr="00D13B67">
        <w:t xml:space="preserve"> it is troublesome</w:t>
      </w:r>
      <w:r w:rsidR="00D67A16" w:rsidRPr="00D13B67">
        <w:t xml:space="preserve"> to suggest that creating and choosing content to ensure no one is excluded from the learning process is the same burden as being exclude</w:t>
      </w:r>
      <w:r w:rsidR="00EA3DA1" w:rsidRPr="00D13B67">
        <w:t xml:space="preserve">d from learning. </w:t>
      </w:r>
      <w:r w:rsidR="009A3051" w:rsidRPr="00D13B67">
        <w:t xml:space="preserve">Accessibility is </w:t>
      </w:r>
      <w:r w:rsidR="00EA3DA1" w:rsidRPr="00D13B67">
        <w:t xml:space="preserve">a key component </w:t>
      </w:r>
      <w:r w:rsidR="006761C1" w:rsidRPr="00D13B67">
        <w:t>to</w:t>
      </w:r>
      <w:r w:rsidR="009A3051" w:rsidRPr="00D13B67">
        <w:t xml:space="preserve"> creating a welcoming and inclusive learning environment and will soon be legally mandated by the Accessible British Columbia Act. </w:t>
      </w:r>
      <w:r w:rsidR="00EA3DA1" w:rsidRPr="00D13B67">
        <w:t xml:space="preserve">As discussed in section 2.1.3, academic ableism posits that asking to be included, or at least not actively excluded, is unreasonable. The </w:t>
      </w:r>
      <w:r w:rsidR="00EA3DA1" w:rsidRPr="00D13B67">
        <w:rPr>
          <w:i/>
        </w:rPr>
        <w:t>ask</w:t>
      </w:r>
      <w:r w:rsidR="00EA3DA1" w:rsidRPr="00D13B67">
        <w:t xml:space="preserve"> of instructors to create and choose accessible content is, according to ableist</w:t>
      </w:r>
      <w:r w:rsidR="006761C1" w:rsidRPr="00D13B67">
        <w:t xml:space="preserve"> thinking</w:t>
      </w:r>
      <w:r w:rsidR="00EA3DA1" w:rsidRPr="00D13B67">
        <w:t>, as significant a burden as being unable to, for example, consume required reading or complete an assessment. To frame meeting this basic</w:t>
      </w:r>
      <w:r w:rsidR="00A40969" w:rsidRPr="00D13B67">
        <w:t xml:space="preserve"> accessibility</w:t>
      </w:r>
      <w:r w:rsidR="00EA3DA1" w:rsidRPr="00D13B67">
        <w:t xml:space="preserve"> standard </w:t>
      </w:r>
      <w:r w:rsidR="006761C1" w:rsidRPr="00D13B67">
        <w:t>a</w:t>
      </w:r>
      <w:r w:rsidR="00EA3DA1" w:rsidRPr="00D13B67">
        <w:t xml:space="preserve">s </w:t>
      </w:r>
      <w:r w:rsidR="00A40969" w:rsidRPr="00D13B67">
        <w:t>equal</w:t>
      </w:r>
      <w:r w:rsidR="00EA3DA1" w:rsidRPr="00D13B67">
        <w:t xml:space="preserve"> to being ostracized, excluded, and unwanted shows there is significant work to be done in changing attitudes.</w:t>
      </w:r>
    </w:p>
    <w:p w14:paraId="392C6A9C" w14:textId="46B67EF8" w:rsidR="006D364F" w:rsidRPr="00D13B67" w:rsidRDefault="00282AA0" w:rsidP="00BB0FD8">
      <w:pPr>
        <w:pStyle w:val="Body"/>
      </w:pPr>
      <w:r w:rsidRPr="00D13B67">
        <w:t>The</w:t>
      </w:r>
      <w:r w:rsidR="00277CF8" w:rsidRPr="00D13B67">
        <w:t xml:space="preserve"> respondent goes on</w:t>
      </w:r>
      <w:r w:rsidR="00525023" w:rsidRPr="00D13B67">
        <w:t xml:space="preserve"> to </w:t>
      </w:r>
      <w:r w:rsidR="00277CF8" w:rsidRPr="00D13B67">
        <w:t>state</w:t>
      </w:r>
      <w:r w:rsidR="00525023" w:rsidRPr="00D13B67">
        <w:t xml:space="preserve"> that </w:t>
      </w:r>
      <w:r w:rsidR="00277CF8" w:rsidRPr="00D13B67">
        <w:t>they are “</w:t>
      </w:r>
      <w:r w:rsidR="006D364F" w:rsidRPr="00D13B67">
        <w:t>at the point where I can share my slides as I do or I can not share them at all because to add descriptions to hundreds of slides would require me to stop sleeping to get everything done.”</w:t>
      </w:r>
      <w:r w:rsidR="00277CF8" w:rsidRPr="00D13B67">
        <w:t xml:space="preserve"> This attitude and practice </w:t>
      </w:r>
      <w:r w:rsidRPr="00D13B67">
        <w:t>places</w:t>
      </w:r>
      <w:r w:rsidR="00277CF8" w:rsidRPr="00D13B67">
        <w:t xml:space="preserve"> disabled students in the position of scapegoat</w:t>
      </w:r>
      <w:r w:rsidR="00C853A6" w:rsidRPr="00D13B67">
        <w:t xml:space="preserve">, opposite to their peers. </w:t>
      </w:r>
      <w:r w:rsidRPr="00D13B67">
        <w:t xml:space="preserve">In this setup, </w:t>
      </w:r>
      <w:r w:rsidR="00E20382" w:rsidRPr="00D13B67">
        <w:t>i</w:t>
      </w:r>
      <w:r w:rsidR="00C853A6" w:rsidRPr="00D13B67">
        <w:t>f a</w:t>
      </w:r>
      <w:r w:rsidR="00E20382" w:rsidRPr="00D13B67">
        <w:t>ny</w:t>
      </w:r>
      <w:r w:rsidR="00C853A6" w:rsidRPr="00D13B67">
        <w:t xml:space="preserve"> student were to ask for </w:t>
      </w:r>
      <w:r w:rsidR="00E20382" w:rsidRPr="00D13B67">
        <w:t>a copy of the respondent’s slides</w:t>
      </w:r>
      <w:r w:rsidR="00653881" w:rsidRPr="00D13B67">
        <w:t xml:space="preserve"> and this </w:t>
      </w:r>
      <w:r w:rsidR="00E20382" w:rsidRPr="00D13B67">
        <w:t>respondent</w:t>
      </w:r>
      <w:r w:rsidR="00653881" w:rsidRPr="00D13B67">
        <w:t xml:space="preserve"> were to decline saying they do not share their slides because the content is not accessible, the existence of a disabled student becomes the </w:t>
      </w:r>
      <w:r w:rsidR="00662FFF" w:rsidRPr="00D13B67">
        <w:t xml:space="preserve">cause of other students not having </w:t>
      </w:r>
      <w:r w:rsidR="00662FFF" w:rsidRPr="00D13B67">
        <w:lastRenderedPageBreak/>
        <w:t>access to the material.</w:t>
      </w:r>
      <w:r w:rsidR="00E20382" w:rsidRPr="00D13B67">
        <w:t xml:space="preserve"> However, the real cause is </w:t>
      </w:r>
      <w:r w:rsidR="00BB0FD8" w:rsidRPr="00D13B67">
        <w:t>the respondent being unwilling to create accessible and inclusive learning experiences.</w:t>
      </w:r>
    </w:p>
    <w:p w14:paraId="4652C9C4" w14:textId="050191FF" w:rsidR="001F5D36" w:rsidRPr="00D13B67" w:rsidRDefault="00F44E6A" w:rsidP="00D2650C">
      <w:pPr>
        <w:pStyle w:val="Body"/>
      </w:pPr>
      <w:r w:rsidRPr="00D13B67">
        <w:t>Based on the repeat</w:t>
      </w:r>
      <w:r w:rsidR="00D2650C" w:rsidRPr="00D13B67">
        <w:t>ed</w:t>
      </w:r>
      <w:r w:rsidRPr="00D13B67">
        <w:t xml:space="preserve"> mention of the institution,</w:t>
      </w:r>
      <w:r w:rsidR="007C334C" w:rsidRPr="00D13B67">
        <w:t xml:space="preserve"> this respondent </w:t>
      </w:r>
      <w:r w:rsidR="00C36AF7" w:rsidRPr="00D13B67">
        <w:t xml:space="preserve">may have a particular grievance with Langara College. However, their comments regarding the tone, </w:t>
      </w:r>
      <w:r w:rsidR="00F91BC4">
        <w:t xml:space="preserve">their hypothetical withholding </w:t>
      </w:r>
      <w:r w:rsidR="00C36AF7" w:rsidRPr="00D13B67">
        <w:t xml:space="preserve">of learning material due to the existence of disabled </w:t>
      </w:r>
      <w:proofErr w:type="gramStart"/>
      <w:r w:rsidR="00D2650C" w:rsidRPr="00D13B67">
        <w:t>students</w:t>
      </w:r>
      <w:r w:rsidR="00294C8C" w:rsidRPr="00D13B67">
        <w:t>,</w:t>
      </w:r>
      <w:r w:rsidR="00D2650C" w:rsidRPr="00D13B67">
        <w:t xml:space="preserve"> and</w:t>
      </w:r>
      <w:proofErr w:type="gramEnd"/>
      <w:r w:rsidR="00C36AF7" w:rsidRPr="00D13B67">
        <w:t xml:space="preserve"> </w:t>
      </w:r>
      <w:r w:rsidR="002F6BA0" w:rsidRPr="00D13B67">
        <w:t>positioning the work of creating and choosing accessible content as equal to being a disabled student suggest</w:t>
      </w:r>
      <w:r w:rsidR="00D2650C" w:rsidRPr="00D13B67">
        <w:t>s</w:t>
      </w:r>
      <w:r w:rsidR="002F6BA0" w:rsidRPr="00D13B67">
        <w:t xml:space="preserve"> this respondent </w:t>
      </w:r>
      <w:r w:rsidR="00477924" w:rsidRPr="00D13B67">
        <w:t>may hold</w:t>
      </w:r>
      <w:r w:rsidR="002F6BA0" w:rsidRPr="00D13B67">
        <w:t xml:space="preserve"> a</w:t>
      </w:r>
      <w:r w:rsidR="006022A6">
        <w:t xml:space="preserve"> </w:t>
      </w:r>
      <w:r w:rsidR="002F6BA0" w:rsidRPr="00D13B67">
        <w:t xml:space="preserve">negative view of disability. </w:t>
      </w:r>
      <w:r w:rsidR="00D2650C" w:rsidRPr="00D13B67">
        <w:t xml:space="preserve">As a final note, </w:t>
      </w:r>
      <w:r w:rsidR="007F4143" w:rsidRPr="00D13B67">
        <w:t xml:space="preserve">this respondent wrote, </w:t>
      </w:r>
      <w:r w:rsidR="001F5D36" w:rsidRPr="00D13B67">
        <w:t>“I think those you are trying to convince it's worthwhile will be more alienated - and those who are already trying, but are under-resourced, will be demoralized.” Thankfully the data from other respondents shows this is not the case.</w:t>
      </w:r>
      <w:r w:rsidR="00807A95" w:rsidRPr="00D13B67">
        <w:t xml:space="preserve"> While legislation has </w:t>
      </w:r>
      <w:r w:rsidR="00705605" w:rsidRPr="00D13B67">
        <w:t>its</w:t>
      </w:r>
      <w:r w:rsidR="00807A95" w:rsidRPr="00D13B67">
        <w:t xml:space="preserve"> shortcomings, particularly in improving the accessibility of digital content as discussed in section 2.3.2, legislation </w:t>
      </w:r>
      <w:r w:rsidR="00705605" w:rsidRPr="00D13B67">
        <w:t>may be a</w:t>
      </w:r>
      <w:r w:rsidR="00807A95" w:rsidRPr="00D13B67">
        <w:t xml:space="preserve"> necessary </w:t>
      </w:r>
      <w:r w:rsidR="00705605" w:rsidRPr="00D13B67">
        <w:t>evil to deal with the academic ableism that pervades post-secondary education in 2026.</w:t>
      </w:r>
    </w:p>
    <w:p w14:paraId="158E18D1" w14:textId="7D1E5EB4" w:rsidR="00D471C4" w:rsidRPr="00D13B67" w:rsidRDefault="569FC21C" w:rsidP="00B51F93">
      <w:pPr>
        <w:pStyle w:val="Heading2"/>
      </w:pPr>
      <w:bookmarkStart w:id="52" w:name="_Toc228868003"/>
      <w:r w:rsidRPr="00D13B67">
        <w:t xml:space="preserve">5 </w:t>
      </w:r>
      <w:r w:rsidR="6E79E39B" w:rsidRPr="00D13B67">
        <w:t>Discussion</w:t>
      </w:r>
      <w:bookmarkEnd w:id="52"/>
    </w:p>
    <w:p w14:paraId="5EF2AA58" w14:textId="284AA953" w:rsidR="00597904" w:rsidRPr="00D13B67" w:rsidRDefault="00E54848" w:rsidP="00FB0E3F">
      <w:pPr>
        <w:pStyle w:val="Body"/>
      </w:pPr>
      <w:r w:rsidRPr="00D13B67">
        <w:t xml:space="preserve">Despite the </w:t>
      </w:r>
      <w:r w:rsidR="00D96A38" w:rsidRPr="00D13B67">
        <w:t>intentions</w:t>
      </w:r>
      <w:r w:rsidRPr="00D13B67">
        <w:t xml:space="preserve"> of accessibility legislation</w:t>
      </w:r>
      <w:r w:rsidR="00F91BC4">
        <w:t>,</w:t>
      </w:r>
      <w:r w:rsidR="00D96A38" w:rsidRPr="00D13B67">
        <w:t xml:space="preserve"> </w:t>
      </w:r>
      <w:r w:rsidR="0033700C" w:rsidRPr="00D13B67">
        <w:t>digital learning materials remain largely inaccessible</w:t>
      </w:r>
      <w:r w:rsidR="00E908DF" w:rsidRPr="00D13B67">
        <w:t xml:space="preserve">. The ubiquity of inaccessible digital learning materials is a contributing factor to the enormous number of academic accommodations </w:t>
      </w:r>
      <w:r w:rsidR="00597904" w:rsidRPr="00D13B67">
        <w:t>required by disabled students</w:t>
      </w:r>
      <w:r w:rsidR="006935C1" w:rsidRPr="00D13B67">
        <w:t xml:space="preserve"> and immeasurable exclusion.</w:t>
      </w:r>
      <w:r w:rsidR="00FB0E3F" w:rsidRPr="00D13B67">
        <w:t xml:space="preserve"> </w:t>
      </w:r>
      <w:r w:rsidR="00597904" w:rsidRPr="00D13B67">
        <w:t xml:space="preserve">Given that accessibility legislation has not had the </w:t>
      </w:r>
      <w:r w:rsidR="00312DB6" w:rsidRPr="00D13B67">
        <w:t>intended</w:t>
      </w:r>
      <w:r w:rsidR="00597904" w:rsidRPr="00D13B67">
        <w:t xml:space="preserve"> impact, this research sough</w:t>
      </w:r>
      <w:r w:rsidR="00312DB6" w:rsidRPr="00D13B67">
        <w:t>t</w:t>
      </w:r>
      <w:r w:rsidR="00597904" w:rsidRPr="00D13B67">
        <w:t xml:space="preserve"> to determine if </w:t>
      </w:r>
      <w:r w:rsidR="00923C14" w:rsidRPr="00D13B67">
        <w:t xml:space="preserve">a better understanding of the experiences of disabled students </w:t>
      </w:r>
      <w:r w:rsidR="00EB7166" w:rsidRPr="00D13B67">
        <w:t xml:space="preserve">would influence </w:t>
      </w:r>
      <w:r w:rsidR="00597904" w:rsidRPr="00D13B67">
        <w:t>post-secondary employees to create and choose more accessible digital learning material.</w:t>
      </w:r>
    </w:p>
    <w:p w14:paraId="4BA2D5B2" w14:textId="4CF51A33" w:rsidR="00C17231" w:rsidRPr="00D13B67" w:rsidRDefault="00FC291D" w:rsidP="00C17231">
      <w:pPr>
        <w:pStyle w:val="Body"/>
      </w:pPr>
      <w:r w:rsidRPr="00D13B67">
        <w:lastRenderedPageBreak/>
        <w:t xml:space="preserve">While existing research addresses disabled students’ perceptions of academic accommodations and post-secondary experiences generally, </w:t>
      </w:r>
      <w:r w:rsidR="00FA265F" w:rsidRPr="00D13B67">
        <w:t>there is a lack of work</w:t>
      </w:r>
      <w:r w:rsidRPr="00D13B67">
        <w:t xml:space="preserve"> address</w:t>
      </w:r>
      <w:r w:rsidR="00FA265F" w:rsidRPr="00D13B67">
        <w:t>ing</w:t>
      </w:r>
      <w:r w:rsidRPr="00D13B67">
        <w:t xml:space="preserve"> the specifics of access barriers to digital learning material on an individual level. </w:t>
      </w:r>
      <w:r w:rsidR="00B123D0" w:rsidRPr="00D13B67">
        <w:t xml:space="preserve">Key findings of this research include that student co-designers identified Word documents and web content as more accessible and useable formats compared to PDFs and publisher platforms. </w:t>
      </w:r>
      <w:r w:rsidR="00C86703" w:rsidRPr="00D13B67">
        <w:t xml:space="preserve">Co-designers emphasized the additional time needed to complete tasks using assistive technology and/or inaccessible content. Co-designers also </w:t>
      </w:r>
      <w:r w:rsidR="00F4591C" w:rsidRPr="00D13B67">
        <w:t>discussed other positive and negative experiences in their learning careers as well as some potential solutions to make digital learning material more accessible.</w:t>
      </w:r>
      <w:r w:rsidR="00AD39B1" w:rsidRPr="00D13B67">
        <w:t xml:space="preserve"> </w:t>
      </w:r>
      <w:r w:rsidR="00C17231" w:rsidRPr="00D13B67">
        <w:t>These findings, when presented to post-secondary employees, were found to be impactful and beneficial to responding employees</w:t>
      </w:r>
      <w:r w:rsidR="001430B5" w:rsidRPr="00D13B67">
        <w:t xml:space="preserve"> although some flagged possibilities for further investigation</w:t>
      </w:r>
      <w:r w:rsidR="00C17231" w:rsidRPr="00D13B67">
        <w:t>. Despite the limited sample size, this research reveals that understanding the experience of disabled students using digital learning materials positively influences post-secondary employees to create and choose more accessible content.</w:t>
      </w:r>
    </w:p>
    <w:p w14:paraId="6E54CE53" w14:textId="33CF4B6C" w:rsidR="00BA6783" w:rsidRPr="00D13B67" w:rsidRDefault="00804FA1" w:rsidP="004F1867">
      <w:pPr>
        <w:pStyle w:val="Heading3"/>
      </w:pPr>
      <w:bookmarkStart w:id="53" w:name="_Toc228868004"/>
      <w:r w:rsidRPr="00D13B67">
        <w:t xml:space="preserve">5.1 </w:t>
      </w:r>
      <w:r w:rsidR="00BA6783" w:rsidRPr="00D13B67">
        <w:t>Formats</w:t>
      </w:r>
      <w:r w:rsidR="00A71E0A" w:rsidRPr="00D13B67">
        <w:t xml:space="preserve"> Theme</w:t>
      </w:r>
      <w:bookmarkEnd w:id="53"/>
    </w:p>
    <w:p w14:paraId="587A740B" w14:textId="4ED7DC10" w:rsidR="00076BF5" w:rsidRPr="00D13B67" w:rsidRDefault="007C047F" w:rsidP="00A40663">
      <w:pPr>
        <w:pStyle w:val="Body"/>
      </w:pPr>
      <w:r w:rsidRPr="00D13B67">
        <w:t>As indicated by the co-designers, t</w:t>
      </w:r>
      <w:r w:rsidR="001D4268" w:rsidRPr="00D13B67">
        <w:t xml:space="preserve">he </w:t>
      </w:r>
      <w:r w:rsidR="00A5032B" w:rsidRPr="00D13B67">
        <w:t>file format of digital learning material</w:t>
      </w:r>
      <w:r w:rsidR="001D4268" w:rsidRPr="00D13B67">
        <w:t xml:space="preserve"> has a significant impact on </w:t>
      </w:r>
      <w:r w:rsidR="007E4FC6" w:rsidRPr="00D13B67">
        <w:t>students.</w:t>
      </w:r>
      <w:r w:rsidR="00260F36" w:rsidRPr="00D13B67">
        <w:t xml:space="preserve"> </w:t>
      </w:r>
      <w:r w:rsidR="00076BF5" w:rsidRPr="00D13B67">
        <w:t xml:space="preserve">The integration of digital material potentially increases the number of access points to learning. However, when that content is inaccessible, learners cannot access </w:t>
      </w:r>
      <w:r w:rsidR="0028199F" w:rsidRPr="00D13B67">
        <w:t>it</w:t>
      </w:r>
      <w:r w:rsidR="00076BF5" w:rsidRPr="00D13B67">
        <w:t xml:space="preserve"> and the promise of increased access morphs into an additional barrier (</w:t>
      </w:r>
      <w:r w:rsidR="00076BF5" w:rsidRPr="00D13B67">
        <w:rPr>
          <w:rStyle w:val="citation-item"/>
        </w:rPr>
        <w:t xml:space="preserve">Huss &amp; Eastep, 2016; </w:t>
      </w:r>
      <w:r w:rsidR="00076BF5" w:rsidRPr="00D13B67">
        <w:t xml:space="preserve">Bartz, 2020). </w:t>
      </w:r>
      <w:r w:rsidR="000D0FF1" w:rsidRPr="00D13B67">
        <w:t>Inaccessible content may be an insurmountable barrier to disabled students’ academic progress (</w:t>
      </w:r>
      <w:proofErr w:type="spellStart"/>
      <w:r w:rsidR="000D0FF1" w:rsidRPr="00D13B67">
        <w:t>Lomellini</w:t>
      </w:r>
      <w:proofErr w:type="spellEnd"/>
      <w:r w:rsidR="000D0FF1" w:rsidRPr="00D13B67">
        <w:t xml:space="preserve"> et al., 2022).</w:t>
      </w:r>
      <w:r w:rsidR="00A40663" w:rsidRPr="00D13B67">
        <w:t xml:space="preserve"> Several co-designers mentioned the impact </w:t>
      </w:r>
      <w:r w:rsidR="00045159" w:rsidRPr="00D13B67">
        <w:t>inaccessible content had on their academic trajectory.</w:t>
      </w:r>
    </w:p>
    <w:p w14:paraId="08CB9FF0" w14:textId="620DA80E" w:rsidR="00045159" w:rsidRPr="00D13B67" w:rsidRDefault="00E51EBF" w:rsidP="00045159">
      <w:pPr>
        <w:pStyle w:val="Body"/>
      </w:pPr>
      <w:r w:rsidRPr="00D13B67">
        <w:rPr>
          <w:rFonts w:eastAsia="Aptos"/>
        </w:rPr>
        <w:lastRenderedPageBreak/>
        <w:t>Those who choose and create digital learning material have an excellent opportunity to create more inclusive student experiences by ensuring content is accessible by design (Briggs et al., 2024).</w:t>
      </w:r>
      <w:r w:rsidR="00045159" w:rsidRPr="00D13B67">
        <w:rPr>
          <w:rFonts w:eastAsia="Aptos"/>
        </w:rPr>
        <w:t xml:space="preserve"> </w:t>
      </w:r>
      <w:r w:rsidR="00076BF5" w:rsidRPr="00D13B67">
        <w:t xml:space="preserve">The Government of Ontario (2022) proposed that </w:t>
      </w:r>
      <w:r w:rsidR="0028199F" w:rsidRPr="00D13B67">
        <w:t>course syllabi</w:t>
      </w:r>
      <w:r w:rsidR="00076BF5" w:rsidRPr="00D13B67">
        <w:t xml:space="preserve"> list all the technology, electronic resources, and other digital material to be used in the course. This would </w:t>
      </w:r>
      <w:r w:rsidR="007D01E9" w:rsidRPr="00D13B67">
        <w:t>help</w:t>
      </w:r>
      <w:r w:rsidR="00076BF5" w:rsidRPr="00D13B67">
        <w:t xml:space="preserve"> students to be best prepared for the course and allow the student to take proactive steps to deal with inaccessible content or switch to another course or section. However, that puts the onus on the student to identify potentially problematic content and potentially alter their academic path. The practice of listing all sources and platforms before the course begins could motivate instructors to create and choose more accessible content.</w:t>
      </w:r>
    </w:p>
    <w:p w14:paraId="1016B976" w14:textId="5CF06B25" w:rsidR="006708C8" w:rsidRPr="00D13B67" w:rsidRDefault="007D01E9" w:rsidP="004B6886">
      <w:pPr>
        <w:pStyle w:val="Body"/>
      </w:pPr>
      <w:r w:rsidRPr="00D13B67">
        <w:t>Post-secondary staff and faculty</w:t>
      </w:r>
      <w:r w:rsidR="006708C8" w:rsidRPr="00D13B67">
        <w:t xml:space="preserve"> may have a fear of being told they must make things accessible as they lack the technical skills and knowledge to do so. While some facets of accessibility can be complex and require significant time and expertise, content created in Word, PowerPoint, and ‘what you see is what you get’ web editors (such as those included in WordPress, Pressbooks, Brightspace, and Canvas) is quite straightforward to make accessible.</w:t>
      </w:r>
      <w:r w:rsidR="00906C79" w:rsidRPr="00D13B67">
        <w:t xml:space="preserve"> </w:t>
      </w:r>
      <w:r w:rsidR="003A343C" w:rsidRPr="00D13B67">
        <w:t>However, research suggest</w:t>
      </w:r>
      <w:r w:rsidR="00D673F5" w:rsidRPr="00D13B67">
        <w:t>s</w:t>
      </w:r>
      <w:r w:rsidR="003A343C" w:rsidRPr="00D13B67">
        <w:t xml:space="preserve"> some faculty believe their course material is not compatible with accessibility</w:t>
      </w:r>
      <w:r w:rsidR="00AC1AE3" w:rsidRPr="00D13B67">
        <w:t xml:space="preserve"> (Read, 2024). </w:t>
      </w:r>
      <w:r w:rsidR="006B45BF" w:rsidRPr="00D13B67">
        <w:t xml:space="preserve">One survey respondent indicated they </w:t>
      </w:r>
      <w:r w:rsidR="00683F77" w:rsidRPr="00D13B67">
        <w:t xml:space="preserve">plan to share inaccessible content or not share </w:t>
      </w:r>
      <w:r w:rsidR="00352B9D" w:rsidRPr="00D13B67">
        <w:t xml:space="preserve">material </w:t>
      </w:r>
      <w:r w:rsidR="00683F77" w:rsidRPr="00D13B67">
        <w:t xml:space="preserve">at all </w:t>
      </w:r>
      <w:proofErr w:type="gramStart"/>
      <w:r w:rsidR="00683F77" w:rsidRPr="00D13B67">
        <w:t>due</w:t>
      </w:r>
      <w:proofErr w:type="gramEnd"/>
      <w:r w:rsidR="00683F77" w:rsidRPr="00D13B67">
        <w:t xml:space="preserve"> to the time required</w:t>
      </w:r>
      <w:r w:rsidR="00ED0C9B" w:rsidRPr="00D13B67">
        <w:t xml:space="preserve"> </w:t>
      </w:r>
      <w:r w:rsidR="003B4EB5" w:rsidRPr="00D13B67">
        <w:t xml:space="preserve">to add descriptions to slides. </w:t>
      </w:r>
      <w:r w:rsidR="00884A94" w:rsidRPr="00D13B67">
        <w:t xml:space="preserve">Dolmage (2017) and Gelber (2025) discuss </w:t>
      </w:r>
      <w:r w:rsidR="0097124E" w:rsidRPr="00D13B67">
        <w:t>how practices introduced to assist disabled students</w:t>
      </w:r>
      <w:r w:rsidR="00C96594" w:rsidRPr="00D13B67">
        <w:t>, such as detailed outlines and rich descriptions,</w:t>
      </w:r>
      <w:r w:rsidR="0097124E" w:rsidRPr="00D13B67">
        <w:t xml:space="preserve"> have become standard practice </w:t>
      </w:r>
      <w:r w:rsidR="00D238BD" w:rsidRPr="00D13B67">
        <w:t>that benefit all students.</w:t>
      </w:r>
      <w:r w:rsidR="00864476" w:rsidRPr="00D13B67">
        <w:t xml:space="preserve"> </w:t>
      </w:r>
      <w:r w:rsidR="003856FB" w:rsidRPr="00D13B67">
        <w:t>While including descriptions of images may currently be a requirement for screen reader access</w:t>
      </w:r>
      <w:r w:rsidR="00CC3693" w:rsidRPr="00D13B67">
        <w:t>,</w:t>
      </w:r>
      <w:r w:rsidR="003856FB" w:rsidRPr="00D13B67">
        <w:t xml:space="preserve"> </w:t>
      </w:r>
      <w:r w:rsidR="003856FB" w:rsidRPr="00D13B67">
        <w:lastRenderedPageBreak/>
        <w:t xml:space="preserve">the practice may have unintended and unforeseen benefits in the future. </w:t>
      </w:r>
      <w:r w:rsidR="00F1156A" w:rsidRPr="00D13B67">
        <w:t>Research that considers how more accessible content is of greater benefit to all students, such as measuring task completion or reading comprehension</w:t>
      </w:r>
      <w:r w:rsidR="004B6886" w:rsidRPr="00D13B67">
        <w:t>, would work to emphasize the value of accessible learning material.</w:t>
      </w:r>
    </w:p>
    <w:p w14:paraId="0AB2FC0D" w14:textId="167E9181" w:rsidR="0085008F" w:rsidRPr="00D13B67" w:rsidRDefault="00045159" w:rsidP="00111C4A">
      <w:pPr>
        <w:pStyle w:val="Body"/>
      </w:pPr>
      <w:r w:rsidRPr="00D13B67">
        <w:t>Co-designers indicated a preference</w:t>
      </w:r>
      <w:r w:rsidR="00764DFA" w:rsidRPr="00D13B67">
        <w:t xml:space="preserve"> (or in some cases need) for Word documents and accessible web content. </w:t>
      </w:r>
      <w:r w:rsidR="00CC3693" w:rsidRPr="00D13B67">
        <w:t>The</w:t>
      </w:r>
      <w:r w:rsidR="00076BF5" w:rsidRPr="00D13B67">
        <w:t xml:space="preserve"> results </w:t>
      </w:r>
      <w:r w:rsidR="00CC3693" w:rsidRPr="00D13B67">
        <w:t xml:space="preserve">of this research </w:t>
      </w:r>
      <w:r w:rsidR="00076BF5" w:rsidRPr="00D13B67">
        <w:t xml:space="preserve">alone are not significant enough to generalize what formats are universally desired, however these findings mirror the general inaccessibility of PDFs noted in section 2.3.2. </w:t>
      </w:r>
      <w:r w:rsidR="00366DC8" w:rsidRPr="00D13B67">
        <w:t>and as I argue in</w:t>
      </w:r>
      <w:r w:rsidR="00076BF5" w:rsidRPr="00D13B67">
        <w:t xml:space="preserve"> previous research (</w:t>
      </w:r>
      <w:hyperlink r:id="rId18" w:history="1">
        <w:r w:rsidR="00076BF5" w:rsidRPr="00D13B67">
          <w:rPr>
            <w:rStyle w:val="Hyperlink"/>
          </w:rPr>
          <w:t>The People v. PDF</w:t>
        </w:r>
      </w:hyperlink>
      <w:r w:rsidR="00076BF5" w:rsidRPr="00D13B67">
        <w:t xml:space="preserve">) that PDFs are not only inaccessible but also difficult for most users to read. </w:t>
      </w:r>
      <w:r w:rsidR="00D47A7C" w:rsidRPr="00D13B67">
        <w:t xml:space="preserve">86% of phase 2 respondents found the </w:t>
      </w:r>
      <w:r w:rsidR="00D47A7C" w:rsidRPr="00D13B67">
        <w:rPr>
          <w:i/>
          <w:iCs/>
        </w:rPr>
        <w:t>Format</w:t>
      </w:r>
      <w:r w:rsidR="00D47A7C" w:rsidRPr="00D13B67">
        <w:t xml:space="preserve"> theme impactful</w:t>
      </w:r>
      <w:r w:rsidR="00ED1BC3" w:rsidRPr="00D13B67">
        <w:t xml:space="preserve"> suggesting that understanding the specifics of inaccessible formats, and what formats work better for disabled students, is important to helping post-secondary employees create and choose more accessible digital learning material.</w:t>
      </w:r>
      <w:r w:rsidR="00875820" w:rsidRPr="00D13B67">
        <w:t xml:space="preserve"> </w:t>
      </w:r>
      <w:r w:rsidR="007D1583" w:rsidRPr="00D13B67">
        <w:t xml:space="preserve">One survey respondent </w:t>
      </w:r>
      <w:r w:rsidR="00886984" w:rsidRPr="00D13B67">
        <w:t>mentioned the</w:t>
      </w:r>
      <w:r w:rsidR="00031EB9" w:rsidRPr="00D13B67">
        <w:t xml:space="preserve">y were </w:t>
      </w:r>
      <w:r w:rsidR="00111C4A" w:rsidRPr="00D13B67">
        <w:t xml:space="preserve">“pleasantly surprised to learn how effective Word is, which makes me feel the learning curve isn't that steep.” </w:t>
      </w:r>
      <w:r w:rsidR="0085008F" w:rsidRPr="00D13B67">
        <w:t xml:space="preserve">Creating accessible content as courses are designed “costs little in time, effort, and resources” (Case </w:t>
      </w:r>
      <w:r w:rsidR="00706A7A" w:rsidRPr="00D13B67">
        <w:t>&amp;</w:t>
      </w:r>
      <w:r w:rsidR="0085008F" w:rsidRPr="00D13B67">
        <w:t xml:space="preserve"> Davidson, 2011, p. 49). For most formats, creating more accessible content is straightforward without requiring high technical competencies or significant time. However, as very little content has been made with accessibility best practices in mind, most people’s experience with digital accessibility is remediation. Remediation is costly and requires significant knowledge and expertise. Remediation is also done ad hoc, on a case-by-case basis and results in no lasting changes and often ends up being repeated term by term.  </w:t>
      </w:r>
    </w:p>
    <w:p w14:paraId="2FB25BED" w14:textId="1979ADD7" w:rsidR="0058303C" w:rsidRPr="00D13B67" w:rsidRDefault="00971E6A" w:rsidP="00BD1EEE">
      <w:pPr>
        <w:pStyle w:val="Body"/>
      </w:pPr>
      <w:r w:rsidRPr="00D13B67">
        <w:lastRenderedPageBreak/>
        <w:t>Accessibility is a benefit to all, not just</w:t>
      </w:r>
      <w:r w:rsidR="00355366">
        <w:t xml:space="preserve"> those</w:t>
      </w:r>
      <w:r w:rsidRPr="00D13B67">
        <w:t xml:space="preserve"> that require it. </w:t>
      </w:r>
      <w:r w:rsidR="00076BF5" w:rsidRPr="00D13B67">
        <w:t xml:space="preserve">Fritz et al. (2019) argues how adherence to accessibility standards may improve the usability of software. Accessible content allows for greater customization, such as font size and contrast, that benefits disabled users and any user that </w:t>
      </w:r>
      <w:r w:rsidR="00E262AE" w:rsidRPr="00D13B67">
        <w:t xml:space="preserve">needs, </w:t>
      </w:r>
      <w:r w:rsidR="00076BF5" w:rsidRPr="00D13B67">
        <w:t>benefits from</w:t>
      </w:r>
      <w:r w:rsidR="00E262AE" w:rsidRPr="00D13B67">
        <w:t>,</w:t>
      </w:r>
      <w:r w:rsidR="00076BF5" w:rsidRPr="00D13B67">
        <w:t xml:space="preserve"> or prefers content to appear a certain way. Word documents and web content offer these features and are thus not only more accessible but also more reader-friendly for all.</w:t>
      </w:r>
      <w:r w:rsidR="00DA4753" w:rsidRPr="00D13B67">
        <w:t xml:space="preserve"> However, further research is needed to determine how best to implement change</w:t>
      </w:r>
      <w:r w:rsidR="00BF7090" w:rsidRPr="00D13B67">
        <w:t>, specifically regarding the choice of digital formats</w:t>
      </w:r>
      <w:r w:rsidR="00DA4753" w:rsidRPr="00D13B67">
        <w:t>, including the overreliance on the PDF as a file format</w:t>
      </w:r>
      <w:r w:rsidR="00CB5A01" w:rsidRPr="00D13B67">
        <w:t xml:space="preserve">. </w:t>
      </w:r>
      <w:r w:rsidR="008B6103" w:rsidRPr="00D13B67">
        <w:t>Significant research is needed to understand how</w:t>
      </w:r>
      <w:r w:rsidR="00916AF3" w:rsidRPr="00D13B67">
        <w:t xml:space="preserve"> PDFs have become ubiquitous</w:t>
      </w:r>
      <w:r w:rsidR="00E262AE" w:rsidRPr="00D13B67">
        <w:t xml:space="preserve"> (</w:t>
      </w:r>
      <w:r w:rsidR="00055AB1" w:rsidRPr="00D13B67">
        <w:t>often the</w:t>
      </w:r>
      <w:r w:rsidR="00916AF3" w:rsidRPr="00D13B67">
        <w:t xml:space="preserve"> default file format</w:t>
      </w:r>
      <w:r w:rsidR="00E262AE" w:rsidRPr="00D13B67">
        <w:t>)</w:t>
      </w:r>
      <w:r w:rsidR="00916AF3" w:rsidRPr="00D13B67">
        <w:t xml:space="preserve"> and how to </w:t>
      </w:r>
      <w:r w:rsidR="00B4072A" w:rsidRPr="00D13B67">
        <w:t>undo decades of dependence</w:t>
      </w:r>
      <w:r w:rsidR="00055AB1" w:rsidRPr="00D13B67">
        <w:t xml:space="preserve"> on a less-than-optimal file</w:t>
      </w:r>
      <w:r w:rsidR="00B4072A" w:rsidRPr="00D13B67">
        <w:t xml:space="preserve">. </w:t>
      </w:r>
      <w:r w:rsidR="005208F9" w:rsidRPr="00D13B67">
        <w:t>Statistical analysis of PDF usage</w:t>
      </w:r>
      <w:r w:rsidR="00E77835" w:rsidRPr="00D13B67">
        <w:t xml:space="preserve"> and </w:t>
      </w:r>
      <w:r w:rsidR="005208F9" w:rsidRPr="00D13B67">
        <w:t>oral histories with content authors</w:t>
      </w:r>
      <w:r w:rsidR="00E77835" w:rsidRPr="00D13B67">
        <w:t xml:space="preserve"> could provide significant insight into the rise of the PDF. </w:t>
      </w:r>
      <w:r w:rsidR="00055AB1" w:rsidRPr="00D13B67">
        <w:t xml:space="preserve">Without </w:t>
      </w:r>
      <w:r w:rsidR="00E77835" w:rsidRPr="00D13B67">
        <w:t xml:space="preserve">understanding to fuel </w:t>
      </w:r>
      <w:r w:rsidR="00055AB1" w:rsidRPr="00D13B67">
        <w:t>meaningful change</w:t>
      </w:r>
      <w:r w:rsidR="001B26A3" w:rsidRPr="00D13B67">
        <w:t xml:space="preserve"> </w:t>
      </w:r>
      <w:r w:rsidR="00AC4A33" w:rsidRPr="00D13B67">
        <w:t>through</w:t>
      </w:r>
      <w:r w:rsidR="001B26A3" w:rsidRPr="00D13B67">
        <w:t xml:space="preserve"> </w:t>
      </w:r>
      <w:r w:rsidR="00E77835" w:rsidRPr="00D13B67">
        <w:t>shifting practice</w:t>
      </w:r>
      <w:r w:rsidR="001B26A3" w:rsidRPr="00D13B67">
        <w:t xml:space="preserve">, sustainable improvement to inclusion and accessibility are unlikely. </w:t>
      </w:r>
    </w:p>
    <w:p w14:paraId="20993D8A" w14:textId="20E0074F" w:rsidR="00554C6F" w:rsidRPr="00D13B67" w:rsidRDefault="00394E94" w:rsidP="006A397B">
      <w:pPr>
        <w:pStyle w:val="Body"/>
      </w:pPr>
      <w:r w:rsidRPr="00D13B67">
        <w:t>One</w:t>
      </w:r>
      <w:r w:rsidR="000721CA" w:rsidRPr="00D13B67">
        <w:t xml:space="preserve"> respondent argued that “the more accessible I make my materials, the more likely they are to end up online, plugged into LLMs, uploaded to cheating sites, or simply taken by the institution, which I no longer trust to respect my intellectual property. I have spent countless hours preparing this material and it is simply not secure.” The respondent may be mistaking the term accessible with available, as there is </w:t>
      </w:r>
      <w:r w:rsidR="0058303C" w:rsidRPr="00D13B67">
        <w:t>little evidence</w:t>
      </w:r>
      <w:r w:rsidR="000721CA" w:rsidRPr="00D13B67">
        <w:t xml:space="preserve"> to suggest that inaccessible content does not “end up online, plugged into LLMs, uploaded to cheating sites, or simply taken by the institution.” Given most websites and PDFs are inaccessible (as discussed in section 2.3.2), if only accessible content made it online as the respondent seems to be suggesting, the web would be barren. </w:t>
      </w:r>
    </w:p>
    <w:p w14:paraId="0809F0AE" w14:textId="31CBE3FA" w:rsidR="00402C70" w:rsidRPr="00D13B67" w:rsidRDefault="00554C6F" w:rsidP="006A397B">
      <w:pPr>
        <w:pStyle w:val="Body"/>
      </w:pPr>
      <w:r w:rsidRPr="00D13B67">
        <w:lastRenderedPageBreak/>
        <w:t>R</w:t>
      </w:r>
      <w:r w:rsidR="00D00488" w:rsidRPr="00D13B67">
        <w:t xml:space="preserve">esistance to inclusion and digital accessibility </w:t>
      </w:r>
      <w:r w:rsidRPr="00D13B67">
        <w:t xml:space="preserve">is </w:t>
      </w:r>
      <w:r w:rsidR="00D00488" w:rsidRPr="00D13B67">
        <w:t xml:space="preserve">not uncommon, as concerns about academic freedom are cited </w:t>
      </w:r>
      <w:r w:rsidR="000E242A" w:rsidRPr="00D13B67">
        <w:t>a</w:t>
      </w:r>
      <w:r w:rsidR="00D00488" w:rsidRPr="00D13B67">
        <w:t>s barriers to faculty creating accessible material (</w:t>
      </w:r>
      <w:proofErr w:type="spellStart"/>
      <w:r w:rsidR="00D00488" w:rsidRPr="00D13B67">
        <w:t>Lewsen</w:t>
      </w:r>
      <w:proofErr w:type="spellEnd"/>
      <w:r w:rsidR="00D00488" w:rsidRPr="00D13B67">
        <w:t xml:space="preserve">, 2024; Gelber, 2025). </w:t>
      </w:r>
      <w:r w:rsidR="008F19B9" w:rsidRPr="00D13B67">
        <w:t>Examining how post-secondary employees view academic freedom and copyright</w:t>
      </w:r>
      <w:r w:rsidR="00D60C57">
        <w:t>,</w:t>
      </w:r>
      <w:r w:rsidR="008F19B9" w:rsidRPr="00D13B67">
        <w:t xml:space="preserve"> together with misconceptions about accessibility and availability</w:t>
      </w:r>
      <w:r w:rsidR="00D60C57">
        <w:t>,</w:t>
      </w:r>
      <w:r w:rsidR="008F19B9" w:rsidRPr="00D13B67">
        <w:t xml:space="preserve"> </w:t>
      </w:r>
      <w:r w:rsidR="006A397B" w:rsidRPr="00D13B67">
        <w:t>could reveal insight into some apprehension about digital accessibility.</w:t>
      </w:r>
      <w:r w:rsidR="00BD1EEE" w:rsidRPr="00D13B67">
        <w:t xml:space="preserve"> The ask of </w:t>
      </w:r>
      <w:r w:rsidR="007C73B3" w:rsidRPr="00D13B67">
        <w:t>using more accessible digital formats is not a significant one. Choosing Word and web content over PDFs is a low effort, high reward initiative that would greatly improve the student experience.</w:t>
      </w:r>
    </w:p>
    <w:p w14:paraId="0529C832" w14:textId="076CEE2F" w:rsidR="00B74848" w:rsidRPr="00D13B67" w:rsidRDefault="00804FA1" w:rsidP="007C36FC">
      <w:pPr>
        <w:pStyle w:val="Heading3"/>
      </w:pPr>
      <w:bookmarkStart w:id="54" w:name="_Toc228868005"/>
      <w:r w:rsidRPr="00D13B67">
        <w:t xml:space="preserve">5.2 </w:t>
      </w:r>
      <w:r w:rsidR="00B74848" w:rsidRPr="00D13B67">
        <w:t>Time</w:t>
      </w:r>
      <w:r w:rsidR="00A71E0A" w:rsidRPr="00D13B67">
        <w:t xml:space="preserve"> Theme</w:t>
      </w:r>
      <w:bookmarkEnd w:id="54"/>
    </w:p>
    <w:p w14:paraId="70264387" w14:textId="77B6C2B8" w:rsidR="008E2DA8" w:rsidRPr="00D13B67" w:rsidRDefault="007C36FC" w:rsidP="0082729E">
      <w:pPr>
        <w:pStyle w:val="Body"/>
      </w:pPr>
      <w:r w:rsidRPr="00D13B67">
        <w:t>All student co-designer</w:t>
      </w:r>
      <w:r w:rsidR="00CD3A26" w:rsidRPr="00D13B67">
        <w:t>s</w:t>
      </w:r>
      <w:r w:rsidRPr="00D13B67">
        <w:t xml:space="preserve"> identified the extra time required to complete schoolwork when using assistive technology and/or encountering inaccessible content. </w:t>
      </w:r>
      <w:r w:rsidR="00C60602" w:rsidRPr="00D13B67">
        <w:t>86% of</w:t>
      </w:r>
      <w:r w:rsidR="000B0A7C" w:rsidRPr="00D13B67">
        <w:t xml:space="preserve"> phase 2</w:t>
      </w:r>
      <w:r w:rsidR="00C60602" w:rsidRPr="00D13B67">
        <w:t xml:space="preserve"> respondents considered the </w:t>
      </w:r>
      <w:r w:rsidR="00C60602" w:rsidRPr="00D13B67">
        <w:rPr>
          <w:i/>
          <w:iCs/>
        </w:rPr>
        <w:t>Time</w:t>
      </w:r>
      <w:r w:rsidR="00C60602" w:rsidRPr="00D13B67">
        <w:t xml:space="preserve"> theme impactful</w:t>
      </w:r>
      <w:r w:rsidR="00804FA1" w:rsidRPr="00D13B67">
        <w:t>.</w:t>
      </w:r>
    </w:p>
    <w:p w14:paraId="61E9F6F7" w14:textId="34FA4A69" w:rsidR="0082729E" w:rsidRPr="00D13B67" w:rsidRDefault="003A20FD" w:rsidP="0082729E">
      <w:pPr>
        <w:pStyle w:val="Body"/>
      </w:pPr>
      <w:r w:rsidRPr="00D13B67">
        <w:t>There a lack of</w:t>
      </w:r>
      <w:r w:rsidR="008E2DA8" w:rsidRPr="00D13B67">
        <w:t xml:space="preserve"> significant research into the time disabled students spend on readings, assignments, and other tasks. A 2021 study of accommodation effectiveness suggests that all students would benefit from extending the length of exam duration from, for example, 3 hours to 4 hours while keeping the number of questions and length of exam constant (</w:t>
      </w:r>
      <w:proofErr w:type="spellStart"/>
      <w:r w:rsidR="008E2DA8" w:rsidRPr="00D13B67">
        <w:t>Baeyens</w:t>
      </w:r>
      <w:proofErr w:type="spellEnd"/>
      <w:r w:rsidR="008E2DA8" w:rsidRPr="00D13B67">
        <w:t xml:space="preserve">, 2021). Extended time accommodations, including format, subject, and length have been </w:t>
      </w:r>
      <w:r w:rsidR="00422E8B" w:rsidRPr="00D13B67">
        <w:t>found to</w:t>
      </w:r>
      <w:r w:rsidR="008E2DA8" w:rsidRPr="00D13B67">
        <w:t xml:space="preserve"> reduce anxiety and improve grades (Slaughter et al., 2022). As with </w:t>
      </w:r>
      <w:r w:rsidR="0007412F" w:rsidRPr="00D13B67">
        <w:t xml:space="preserve">the </w:t>
      </w:r>
      <w:r w:rsidR="008E2DA8" w:rsidRPr="00D13B67">
        <w:t xml:space="preserve">many practices adopted to better teach disabled students </w:t>
      </w:r>
      <w:r w:rsidR="0007412F" w:rsidRPr="00D13B67">
        <w:t>that have</w:t>
      </w:r>
      <w:r w:rsidR="008E2DA8" w:rsidRPr="00D13B67">
        <w:t xml:space="preserve"> found their way into common teaching practice, the provision of extra time accommodations may be </w:t>
      </w:r>
      <w:r w:rsidR="009521E0" w:rsidRPr="00D13B67">
        <w:t>replaced</w:t>
      </w:r>
      <w:r w:rsidR="008E2DA8" w:rsidRPr="00D13B67">
        <w:t xml:space="preserve"> in favour of untimed or slower-paced assessments for all students (Gelber, 2025). In the context of accommodated assessments, Grant (2023) argues that instead of </w:t>
      </w:r>
      <w:r w:rsidR="008E2DA8" w:rsidRPr="00D13B67">
        <w:lastRenderedPageBreak/>
        <w:t xml:space="preserve">burdening students with seeking medical diagnoses and schools with </w:t>
      </w:r>
      <w:r w:rsidR="00E43A54" w:rsidRPr="00D13B67">
        <w:t xml:space="preserve">costs for </w:t>
      </w:r>
      <w:r w:rsidR="008E2DA8" w:rsidRPr="00D13B67">
        <w:t xml:space="preserve">rooms and invigilators, “why not give </w:t>
      </w:r>
      <w:r w:rsidR="008E2DA8" w:rsidRPr="00D13B67">
        <w:rPr>
          <w:i/>
          <w:iCs/>
        </w:rPr>
        <w:t>everyone</w:t>
      </w:r>
      <w:r w:rsidR="008E2DA8" w:rsidRPr="00D13B67">
        <w:t xml:space="preserve"> enough time to complete the test?” In the context of digital learning material (and all the learning done outside of formal assessment) why not give </w:t>
      </w:r>
      <w:r w:rsidR="008E2DA8" w:rsidRPr="00D13B67">
        <w:rPr>
          <w:i/>
          <w:iCs/>
        </w:rPr>
        <w:t>everyone</w:t>
      </w:r>
      <w:r w:rsidR="008E2DA8" w:rsidRPr="00D13B67">
        <w:t xml:space="preserve"> enough time to complete their tasks? Why not give everyone accessible content they can consume?</w:t>
      </w:r>
    </w:p>
    <w:p w14:paraId="2B2F6095" w14:textId="7AA9805F" w:rsidR="0082729E" w:rsidRPr="00D13B67" w:rsidRDefault="009521E0" w:rsidP="0082729E">
      <w:pPr>
        <w:pStyle w:val="Body"/>
      </w:pPr>
      <w:r w:rsidRPr="00D13B67">
        <w:t xml:space="preserve">Bartz (2020) </w:t>
      </w:r>
      <w:r w:rsidR="0082729E" w:rsidRPr="00D13B67">
        <w:t xml:space="preserve">mixed-methods study of 45 students found that accessible learning materials are essential to student success, particularly the timely provision of accessible material. </w:t>
      </w:r>
      <w:r w:rsidRPr="00D13B67">
        <w:t>Brandt</w:t>
      </w:r>
      <w:r w:rsidR="0082729E" w:rsidRPr="00D13B67">
        <w:t xml:space="preserve"> </w:t>
      </w:r>
      <w:r w:rsidRPr="00D13B67">
        <w:t>(</w:t>
      </w:r>
      <w:r w:rsidR="0082729E" w:rsidRPr="00D13B67">
        <w:t>2011</w:t>
      </w:r>
      <w:r w:rsidRPr="00D13B67">
        <w:t>)</w:t>
      </w:r>
      <w:r w:rsidR="0082729E" w:rsidRPr="00D13B67">
        <w:t xml:space="preserve"> study found that not receiving accessible materials on time was the most common problem reported by disabled students, with some indicating they did not receive materials in time to complete assessments.</w:t>
      </w:r>
      <w:r w:rsidR="00AC47D5" w:rsidRPr="00D13B67">
        <w:t xml:space="preserve"> A consideration for future research might be a longitudinal study of </w:t>
      </w:r>
      <w:r w:rsidR="00B1298A" w:rsidRPr="00D13B67">
        <w:t xml:space="preserve">the excess time, and associated stress, </w:t>
      </w:r>
      <w:r w:rsidR="00AC47D5" w:rsidRPr="00D13B67">
        <w:t xml:space="preserve">post-secondary students </w:t>
      </w:r>
      <w:r w:rsidR="00B1298A" w:rsidRPr="00D13B67">
        <w:t>are burdened with</w:t>
      </w:r>
      <w:r w:rsidR="00AC47D5" w:rsidRPr="00D13B67">
        <w:t xml:space="preserve"> when engaging with inaccessible or less than optimal digital material.</w:t>
      </w:r>
      <w:r w:rsidR="00E3487C" w:rsidRPr="00D13B67">
        <w:t xml:space="preserve"> Such data could </w:t>
      </w:r>
      <w:r w:rsidR="001645AA" w:rsidRPr="00D13B67">
        <w:t xml:space="preserve">be used to </w:t>
      </w:r>
      <w:r w:rsidR="00644368" w:rsidRPr="00D13B67">
        <w:t>bolster</w:t>
      </w:r>
      <w:r w:rsidR="001645AA" w:rsidRPr="00D13B67">
        <w:t xml:space="preserve"> a sense of informed empathy amongst post-secondary employees.</w:t>
      </w:r>
    </w:p>
    <w:p w14:paraId="2DFF3CFC" w14:textId="71154085" w:rsidR="008E2DA8" w:rsidRPr="00D13B67" w:rsidRDefault="008E2DA8" w:rsidP="0082729E">
      <w:pPr>
        <w:pStyle w:val="Body"/>
      </w:pPr>
      <w:r w:rsidRPr="00D13B67">
        <w:t xml:space="preserve">Academia </w:t>
      </w:r>
      <w:r w:rsidR="00E43EA7" w:rsidRPr="00D13B67">
        <w:t>has</w:t>
      </w:r>
      <w:r w:rsidRPr="00D13B67">
        <w:t xml:space="preserve"> a fascination with speed and productivity. The emphasis on pages written as a quantifiable result ignores the mental and physical labour required to participate, especially for disabled students. This </w:t>
      </w:r>
      <w:r w:rsidR="009B0FE9" w:rsidRPr="00D13B67">
        <w:t>‘</w:t>
      </w:r>
      <w:r w:rsidRPr="00D13B67">
        <w:t>culture of speed</w:t>
      </w:r>
      <w:r w:rsidR="009B0FE9" w:rsidRPr="00D13B67">
        <w:t>’</w:t>
      </w:r>
      <w:r w:rsidRPr="00D13B67">
        <w:t xml:space="preserve"> does not recognize the barriers faced by disabled students, but instead “individualizes failure as a student’s own inabilit</w:t>
      </w:r>
      <w:r w:rsidR="005026DA" w:rsidRPr="00D13B67">
        <w:t>y</w:t>
      </w:r>
      <w:r w:rsidRPr="00D13B67">
        <w:t xml:space="preserve">” (Lau, 2019, p. 15). Expectations of how long something should take are based on preconceived ideas of normalcy. </w:t>
      </w:r>
      <w:r w:rsidR="00A97E0D" w:rsidRPr="00D13B67">
        <w:t>An alternative to normal time is ‘crip time</w:t>
      </w:r>
      <w:r w:rsidR="00C554FE" w:rsidRPr="00D13B67">
        <w:t>.</w:t>
      </w:r>
      <w:r w:rsidR="00A97E0D" w:rsidRPr="00D13B67">
        <w:t>’</w:t>
      </w:r>
      <w:r w:rsidR="00C554FE" w:rsidRPr="00D13B67">
        <w:t xml:space="preserve"> Crip time suggests that </w:t>
      </w:r>
      <w:r w:rsidR="00A97E0D" w:rsidRPr="00D13B67">
        <w:t>disabled people experience time differently</w:t>
      </w:r>
      <w:r w:rsidR="00C554FE" w:rsidRPr="00D13B67">
        <w:t>, because, for example, the accessible gate at the train station was malfunctioning, an elevator was out of service</w:t>
      </w:r>
      <w:r w:rsidR="00F728F8" w:rsidRPr="00D13B67">
        <w:t xml:space="preserve">, or </w:t>
      </w:r>
      <w:r w:rsidR="00F728F8" w:rsidRPr="00D13B67">
        <w:lastRenderedPageBreak/>
        <w:t>they had to double back to collect something they forgot</w:t>
      </w:r>
      <w:r w:rsidR="00A97E0D" w:rsidRPr="00D13B67">
        <w:t xml:space="preserve">. </w:t>
      </w:r>
      <w:r w:rsidRPr="00D13B67">
        <w:t xml:space="preserve">As Alison Kafer argues in </w:t>
      </w:r>
      <w:r w:rsidRPr="00D13B67">
        <w:rPr>
          <w:i/>
          <w:iCs/>
        </w:rPr>
        <w:t>Feminist, Queer, Crip</w:t>
      </w:r>
      <w:r w:rsidRPr="00D13B67">
        <w:t>, “rather than bend disabled bodies and mind to meet the clock, crip time bends the clock to meet disabled bodies and minds” (2013, p. 27). Understanding the additional time disabled students need</w:t>
      </w:r>
      <w:r w:rsidR="005026DA" w:rsidRPr="00D13B67">
        <w:t>,</w:t>
      </w:r>
      <w:r w:rsidRPr="00D13B67">
        <w:t xml:space="preserve"> while rethinking definitions of success based on output alone</w:t>
      </w:r>
      <w:r w:rsidR="005026DA" w:rsidRPr="00D13B67">
        <w:t>,</w:t>
      </w:r>
      <w:r w:rsidRPr="00D13B67">
        <w:t xml:space="preserve"> offer a more inclusive path forward for education that is less reliant on accommodations.</w:t>
      </w:r>
    </w:p>
    <w:p w14:paraId="6A86ADC9" w14:textId="3E9A0B25" w:rsidR="00E43EA7" w:rsidRPr="00D13B67" w:rsidRDefault="00F728F8" w:rsidP="004E087D">
      <w:pPr>
        <w:pStyle w:val="Body"/>
      </w:pPr>
      <w:r w:rsidRPr="00D13B67">
        <w:t>A</w:t>
      </w:r>
      <w:r w:rsidR="00DC38C8" w:rsidRPr="00D13B67">
        <w:t>s discussed in section 4.2</w:t>
      </w:r>
      <w:r w:rsidRPr="00D13B67">
        <w:t>,</w:t>
      </w:r>
      <w:r w:rsidR="00DC38C8" w:rsidRPr="00D13B67">
        <w:t xml:space="preserve"> the consideration of the time inaccessible content costs students must be weighed against the perceptions that creating accessible content </w:t>
      </w:r>
      <w:r w:rsidR="00FC4B43" w:rsidRPr="00D13B67">
        <w:t xml:space="preserve">is an excessive burden on post-secondary employees. </w:t>
      </w:r>
      <w:r w:rsidR="00443027" w:rsidRPr="00D13B67">
        <w:t xml:space="preserve">One </w:t>
      </w:r>
      <w:r w:rsidRPr="00D13B67">
        <w:t>faculty member</w:t>
      </w:r>
      <w:r w:rsidR="00443027" w:rsidRPr="00D13B67">
        <w:t xml:space="preserve"> </w:t>
      </w:r>
      <w:r w:rsidRPr="00D13B67">
        <w:t>responding to the survey</w:t>
      </w:r>
      <w:r w:rsidR="00443027" w:rsidRPr="00D13B67">
        <w:t xml:space="preserve"> lamented the lack of </w:t>
      </w:r>
      <w:r w:rsidR="00085914" w:rsidRPr="00D13B67">
        <w:t xml:space="preserve">acknowledgement by the co-designers of the additional time required to create accessible </w:t>
      </w:r>
      <w:r w:rsidR="00635D78" w:rsidRPr="00D13B67">
        <w:t>content</w:t>
      </w:r>
      <w:r w:rsidR="00ED47AF" w:rsidRPr="00D13B67">
        <w:t xml:space="preserve">, suggesting asking instructors to create accessible content is a “burden” akin to the extra time required of disabled students to </w:t>
      </w:r>
      <w:r w:rsidR="004E087D" w:rsidRPr="00D13B67">
        <w:t xml:space="preserve">consume inaccessible material. </w:t>
      </w:r>
      <w:r w:rsidR="00635D78" w:rsidRPr="00D13B67">
        <w:t>This respondent may be speaking from a position of only understanding accessibility from a remediation standpoint. As many have only encountered accessibility when forced by legal accommodation, it may not be uncommon for some to equate accessibility with extra work. While the remediation of inaccessible content is additional work, creating accessible content takes no more time than creating inaccessible content.</w:t>
      </w:r>
      <w:r w:rsidR="00ED47AF" w:rsidRPr="00D13B67">
        <w:t xml:space="preserve"> </w:t>
      </w:r>
      <w:r w:rsidR="000F4243" w:rsidRPr="00D13B67">
        <w:t>Although, training and support are likely needed to ensure post-secondary employees feel capable and empowered to understand digital accessibility.</w:t>
      </w:r>
    </w:p>
    <w:p w14:paraId="3076047D" w14:textId="145E9433" w:rsidR="00402C70" w:rsidRPr="00D13B67" w:rsidRDefault="007C54AC" w:rsidP="004E087D">
      <w:pPr>
        <w:pStyle w:val="Body"/>
      </w:pPr>
      <w:r w:rsidRPr="00D13B67">
        <w:t xml:space="preserve">The original intention of this project was </w:t>
      </w:r>
      <w:r w:rsidR="00BF6FD3" w:rsidRPr="00D13B67">
        <w:t xml:space="preserve">to gather feedback from post-secondary employees on their capacity and </w:t>
      </w:r>
      <w:r w:rsidR="00A2692E" w:rsidRPr="00D13B67">
        <w:t>solicit methods</w:t>
      </w:r>
      <w:r w:rsidR="00BF6FD3" w:rsidRPr="00D13B67">
        <w:t xml:space="preserve"> to best support their efforts to create and choose more accessible digital learning material. However, as outlined in </w:t>
      </w:r>
      <w:r w:rsidR="00A7036D" w:rsidRPr="00D13B67">
        <w:t xml:space="preserve">section 3.2.3, </w:t>
      </w:r>
      <w:r w:rsidR="00A7036D" w:rsidRPr="00D13B67">
        <w:lastRenderedPageBreak/>
        <w:t>given the layoffs across the post-secondary sector,</w:t>
      </w:r>
      <w:r w:rsidR="00A2692E" w:rsidRPr="00D13B67">
        <w:t xml:space="preserve"> as well as the general stressors and time constraints on post-secondary employees,</w:t>
      </w:r>
      <w:r w:rsidR="00A7036D" w:rsidRPr="00D13B67">
        <w:t xml:space="preserve"> it was deemed unlikely employees </w:t>
      </w:r>
      <w:r w:rsidR="000F4243" w:rsidRPr="00D13B67">
        <w:t xml:space="preserve">had </w:t>
      </w:r>
      <w:r w:rsidR="00A7036D" w:rsidRPr="00D13B67">
        <w:t xml:space="preserve">the time and capacity to commit to </w:t>
      </w:r>
      <w:r w:rsidR="00270793" w:rsidRPr="00D13B67">
        <w:t>lengthy interviews. A potential avenue for future research would be to interview instructors about their capacity (including available time, technical skills, knowledge about digital accessibility</w:t>
      </w:r>
      <w:r w:rsidR="000F4243" w:rsidRPr="00D13B67">
        <w:t>, and access to suppor</w:t>
      </w:r>
      <w:r w:rsidR="00623EAC" w:rsidRPr="00D13B67">
        <w:t>t resources and/or training</w:t>
      </w:r>
      <w:r w:rsidR="00270793" w:rsidRPr="00D13B67">
        <w:t>) to create and choose more accessib</w:t>
      </w:r>
      <w:r w:rsidR="00E43EA7" w:rsidRPr="00D13B67">
        <w:t>le</w:t>
      </w:r>
      <w:r w:rsidR="00270793" w:rsidRPr="00D13B67">
        <w:t xml:space="preserve"> digital learning material</w:t>
      </w:r>
      <w:r w:rsidR="00F41358" w:rsidRPr="00D13B67">
        <w:t xml:space="preserve">. </w:t>
      </w:r>
      <w:r w:rsidR="000A1065" w:rsidRPr="00D13B67">
        <w:t xml:space="preserve">Data would be useful to </w:t>
      </w:r>
      <w:r w:rsidR="00F41358" w:rsidRPr="00D13B67">
        <w:t>best inform training frameworks</w:t>
      </w:r>
      <w:r w:rsidR="00270793" w:rsidRPr="00D13B67">
        <w:t xml:space="preserve">. </w:t>
      </w:r>
    </w:p>
    <w:p w14:paraId="45DCD941" w14:textId="6AEAADD1" w:rsidR="0061184B" w:rsidRPr="00D13B67" w:rsidRDefault="000216AD" w:rsidP="00400915">
      <w:pPr>
        <w:pStyle w:val="Heading3"/>
      </w:pPr>
      <w:bookmarkStart w:id="55" w:name="_Toc228868006"/>
      <w:r w:rsidRPr="00D13B67">
        <w:t xml:space="preserve">5.3 </w:t>
      </w:r>
      <w:r w:rsidR="00B74848" w:rsidRPr="00D13B67">
        <w:t>Experience</w:t>
      </w:r>
      <w:r w:rsidR="00A71E0A" w:rsidRPr="00D13B67">
        <w:t xml:space="preserve"> Theme</w:t>
      </w:r>
      <w:bookmarkEnd w:id="55"/>
    </w:p>
    <w:p w14:paraId="64F46497" w14:textId="5406158B" w:rsidR="00FA6555" w:rsidRPr="00D13B67" w:rsidRDefault="003F3BB8" w:rsidP="00FA6555">
      <w:pPr>
        <w:pStyle w:val="Body"/>
        <w:rPr>
          <w:rFonts w:eastAsia="Aptos"/>
        </w:rPr>
      </w:pPr>
      <w:r w:rsidRPr="00D13B67">
        <w:t xml:space="preserve">The student experience, </w:t>
      </w:r>
      <w:r w:rsidR="005E581C" w:rsidRPr="00D13B67">
        <w:t>particularly</w:t>
      </w:r>
      <w:r w:rsidRPr="00D13B67">
        <w:t xml:space="preserve"> with academic accommodations, has been extensively studied. </w:t>
      </w:r>
      <w:r w:rsidR="000D453F" w:rsidRPr="00D13B67">
        <w:rPr>
          <w:rFonts w:eastAsia="Aptos"/>
        </w:rPr>
        <w:t>Slaughter et al. (2022) and Lyman et al. (2016)</w:t>
      </w:r>
      <w:r w:rsidR="0022045E" w:rsidRPr="00D13B67">
        <w:rPr>
          <w:rFonts w:eastAsia="Aptos"/>
        </w:rPr>
        <w:t>,</w:t>
      </w:r>
      <w:r w:rsidR="000D453F" w:rsidRPr="00D13B67">
        <w:rPr>
          <w:rFonts w:eastAsia="Aptos"/>
        </w:rPr>
        <w:t xml:space="preserve"> provide qualitative analysis of the student experience with specific accommodations</w:t>
      </w:r>
      <w:r w:rsidR="0022045E" w:rsidRPr="00D13B67">
        <w:rPr>
          <w:rFonts w:eastAsia="Aptos"/>
        </w:rPr>
        <w:t>.</w:t>
      </w:r>
      <w:r w:rsidR="00231C8A" w:rsidRPr="00D13B67">
        <w:rPr>
          <w:rFonts w:eastAsia="Aptos"/>
        </w:rPr>
        <w:t xml:space="preserve"> </w:t>
      </w:r>
      <w:proofErr w:type="spellStart"/>
      <w:r w:rsidR="00231C8A" w:rsidRPr="00D13B67">
        <w:rPr>
          <w:rFonts w:eastAsia="Aptos"/>
        </w:rPr>
        <w:t>Alyass</w:t>
      </w:r>
      <w:proofErr w:type="spellEnd"/>
      <w:r w:rsidR="00231C8A" w:rsidRPr="00D13B67">
        <w:rPr>
          <w:rFonts w:eastAsia="Aptos"/>
        </w:rPr>
        <w:t xml:space="preserve"> (2024) and Marom &amp; Hardwick (2025) collect qualitative feedback from disabled students on the effectiveness of, and potential improvements to, academic accommodations.</w:t>
      </w:r>
      <w:r w:rsidR="00FA6555" w:rsidRPr="00D13B67">
        <w:rPr>
          <w:rFonts w:eastAsia="Aptos"/>
        </w:rPr>
        <w:t xml:space="preserve"> </w:t>
      </w:r>
      <w:r w:rsidR="004A0746" w:rsidRPr="00D13B67">
        <w:rPr>
          <w:rFonts w:eastAsia="Aptos"/>
        </w:rPr>
        <w:t>Few, if any</w:t>
      </w:r>
      <w:r w:rsidR="005F3668" w:rsidRPr="00D13B67">
        <w:rPr>
          <w:rFonts w:eastAsia="Aptos"/>
        </w:rPr>
        <w:t>,</w:t>
      </w:r>
      <w:r w:rsidR="004A0746" w:rsidRPr="00D13B67">
        <w:rPr>
          <w:rFonts w:eastAsia="Aptos"/>
        </w:rPr>
        <w:t xml:space="preserve"> studies</w:t>
      </w:r>
      <w:r w:rsidR="000D453F" w:rsidRPr="00D13B67">
        <w:rPr>
          <w:rFonts w:eastAsia="Aptos"/>
        </w:rPr>
        <w:t xml:space="preserve"> consider the accessibility of digital learning material</w:t>
      </w:r>
      <w:r w:rsidR="00C6556D" w:rsidRPr="00D13B67">
        <w:rPr>
          <w:rFonts w:eastAsia="Aptos"/>
        </w:rPr>
        <w:t xml:space="preserve"> at the individual level</w:t>
      </w:r>
      <w:r w:rsidR="000D453F" w:rsidRPr="00D13B67">
        <w:rPr>
          <w:rFonts w:eastAsia="Aptos"/>
        </w:rPr>
        <w:t>. Some</w:t>
      </w:r>
      <w:r w:rsidR="00BC0E09" w:rsidRPr="00D13B67">
        <w:rPr>
          <w:rFonts w:eastAsia="Aptos"/>
        </w:rPr>
        <w:t xml:space="preserve"> academic</w:t>
      </w:r>
      <w:r w:rsidR="000D453F" w:rsidRPr="00D13B67">
        <w:rPr>
          <w:rFonts w:eastAsia="Aptos"/>
        </w:rPr>
        <w:t xml:space="preserve"> accommodations may impact the provision or remediation of accessible digital learning material, however that is not reflected in existing research</w:t>
      </w:r>
      <w:r w:rsidR="00FA6555" w:rsidRPr="00D13B67">
        <w:rPr>
          <w:rFonts w:eastAsia="Aptos"/>
        </w:rPr>
        <w:t xml:space="preserve">. This study provides greater specificity at the individual level </w:t>
      </w:r>
      <w:r w:rsidR="009D46A2" w:rsidRPr="00D13B67">
        <w:rPr>
          <w:rFonts w:eastAsia="Aptos"/>
        </w:rPr>
        <w:t xml:space="preserve">through direct engagement with the population most impacted (disabled students) </w:t>
      </w:r>
      <w:r w:rsidR="00FA6555" w:rsidRPr="00D13B67">
        <w:rPr>
          <w:rFonts w:eastAsia="Aptos"/>
        </w:rPr>
        <w:t xml:space="preserve">and tangible actions to improve the situation. </w:t>
      </w:r>
    </w:p>
    <w:p w14:paraId="060BF94F" w14:textId="6069B676" w:rsidR="000D453F" w:rsidRPr="00D13B67" w:rsidRDefault="009D46A2" w:rsidP="009D46A2">
      <w:pPr>
        <w:pStyle w:val="Body"/>
        <w:rPr>
          <w:rFonts w:eastAsia="Aptos"/>
        </w:rPr>
      </w:pPr>
      <w:r w:rsidRPr="00D13B67">
        <w:rPr>
          <w:rFonts w:eastAsia="Aptos"/>
        </w:rPr>
        <w:t xml:space="preserve">The student co-designers of this study demonstrated an exceptional ability to self-advocate for their needs and co-design learning experiences. Continuing to respect students as knowledge holders and subject matter experts in their own experience would allow for post-secondary to best serve all students with more meaningful and valuable </w:t>
      </w:r>
      <w:r w:rsidRPr="00D13B67">
        <w:rPr>
          <w:rFonts w:eastAsia="Aptos"/>
        </w:rPr>
        <w:lastRenderedPageBreak/>
        <w:t xml:space="preserve">educational experiences. </w:t>
      </w:r>
      <w:r w:rsidR="008B03CD" w:rsidRPr="00D13B67">
        <w:rPr>
          <w:rFonts w:eastAsia="Aptos"/>
        </w:rPr>
        <w:t xml:space="preserve">While this work focused on preferred digital file formats, similar methods could be employed to understand student preferences on all manner of educational factors such as delivery mode, curricula, and teaching practices. </w:t>
      </w:r>
    </w:p>
    <w:p w14:paraId="59FB0B4F" w14:textId="03407605" w:rsidR="009D46A2" w:rsidRPr="00D13B67" w:rsidRDefault="000D453F" w:rsidP="009D46A2">
      <w:pPr>
        <w:pStyle w:val="Body"/>
      </w:pPr>
      <w:r w:rsidRPr="00D13B67">
        <w:rPr>
          <w:rFonts w:eastAsia="Aptos"/>
        </w:rPr>
        <w:t xml:space="preserve">Surveys, such as those conducted by the Canadian University Survey Consortium, provide valuable data about self-reporting disabled students and their use of accommodations; </w:t>
      </w:r>
      <w:r w:rsidR="00911C0A" w:rsidRPr="00D13B67">
        <w:rPr>
          <w:rFonts w:eastAsia="Aptos"/>
        </w:rPr>
        <w:t>however,</w:t>
      </w:r>
      <w:r w:rsidRPr="00D13B67">
        <w:rPr>
          <w:rFonts w:eastAsia="Aptos"/>
        </w:rPr>
        <w:t xml:space="preserve"> surveys lack the depth and specifics that qualitative study provides. Other, more focused studies such as McGregor et al. (2016) and </w:t>
      </w:r>
      <w:proofErr w:type="spellStart"/>
      <w:r w:rsidRPr="00D13B67">
        <w:rPr>
          <w:rFonts w:eastAsia="Aptos"/>
        </w:rPr>
        <w:t>Mamboleo</w:t>
      </w:r>
      <w:proofErr w:type="spellEnd"/>
      <w:r w:rsidRPr="00D13B67">
        <w:rPr>
          <w:rFonts w:eastAsia="Aptos"/>
        </w:rPr>
        <w:t xml:space="preserve"> et al. (2020) offer useful data on the student experience with accommodations. </w:t>
      </w:r>
      <w:r w:rsidR="00391E75" w:rsidRPr="00D13B67">
        <w:rPr>
          <w:rFonts w:eastAsia="Aptos"/>
        </w:rPr>
        <w:t>However, t</w:t>
      </w:r>
      <w:r w:rsidRPr="00D13B67">
        <w:rPr>
          <w:rFonts w:eastAsia="Aptos"/>
        </w:rPr>
        <w:t>hese lack both the depth of a qualitative study and the specificity of addressing digital learning material.</w:t>
      </w:r>
      <w:r w:rsidR="00791481" w:rsidRPr="00D13B67">
        <w:rPr>
          <w:rFonts w:eastAsia="Aptos"/>
        </w:rPr>
        <w:t xml:space="preserve"> </w:t>
      </w:r>
      <w:r w:rsidR="009D46A2" w:rsidRPr="00D13B67">
        <w:rPr>
          <w:rFonts w:eastAsia="Aptos"/>
        </w:rPr>
        <w:t xml:space="preserve">Studies </w:t>
      </w:r>
      <w:r w:rsidR="00985A97" w:rsidRPr="00D13B67">
        <w:rPr>
          <w:rFonts w:eastAsia="Aptos"/>
        </w:rPr>
        <w:t xml:space="preserve">such as those </w:t>
      </w:r>
      <w:r w:rsidR="005E581C" w:rsidRPr="00D13B67">
        <w:rPr>
          <w:rFonts w:eastAsia="Aptos"/>
        </w:rPr>
        <w:t>assist with u</w:t>
      </w:r>
      <w:r w:rsidR="00985A97" w:rsidRPr="00D13B67">
        <w:rPr>
          <w:rFonts w:eastAsia="Aptos"/>
        </w:rPr>
        <w:t>nderstanding</w:t>
      </w:r>
      <w:r w:rsidR="009D46A2" w:rsidRPr="00D13B67">
        <w:rPr>
          <w:rFonts w:eastAsia="Aptos"/>
        </w:rPr>
        <w:t xml:space="preserve"> what is</w:t>
      </w:r>
      <w:r w:rsidR="005E581C" w:rsidRPr="00D13B67">
        <w:rPr>
          <w:rFonts w:eastAsia="Aptos"/>
        </w:rPr>
        <w:t xml:space="preserve"> and</w:t>
      </w:r>
      <w:r w:rsidR="009D46A2" w:rsidRPr="00D13B67">
        <w:rPr>
          <w:rFonts w:eastAsia="Aptos"/>
        </w:rPr>
        <w:t xml:space="preserve"> provide useful</w:t>
      </w:r>
      <w:r w:rsidR="005E581C" w:rsidRPr="00D13B67">
        <w:rPr>
          <w:rFonts w:eastAsia="Aptos"/>
        </w:rPr>
        <w:t xml:space="preserve"> context, scope, and framing</w:t>
      </w:r>
      <w:r w:rsidR="009D46A2" w:rsidRPr="00D13B67">
        <w:rPr>
          <w:rFonts w:eastAsia="Aptos"/>
        </w:rPr>
        <w:t xml:space="preserve">. This study seeks to record how inaccessibility impacts students and how those impacts can be mitigated. </w:t>
      </w:r>
    </w:p>
    <w:p w14:paraId="6101B0F3" w14:textId="2A4C67FB" w:rsidR="00675592" w:rsidRPr="00D13B67" w:rsidRDefault="00675592" w:rsidP="00012A00">
      <w:pPr>
        <w:pStyle w:val="Body"/>
        <w:rPr>
          <w:rFonts w:eastAsia="Aptos"/>
        </w:rPr>
      </w:pPr>
      <w:r w:rsidRPr="00D13B67">
        <w:rPr>
          <w:rFonts w:eastAsia="Aptos"/>
        </w:rPr>
        <w:t xml:space="preserve">Additionally, research exists on </w:t>
      </w:r>
      <w:r w:rsidR="00962CE0" w:rsidRPr="00D13B67">
        <w:rPr>
          <w:rFonts w:eastAsia="Aptos"/>
        </w:rPr>
        <w:t xml:space="preserve">the lack of understanding about how assistive technology works, </w:t>
      </w:r>
      <w:r w:rsidR="0022045E" w:rsidRPr="00D13B67">
        <w:rPr>
          <w:rFonts w:eastAsia="Aptos"/>
        </w:rPr>
        <w:t>gaps in</w:t>
      </w:r>
      <w:r w:rsidR="00962CE0" w:rsidRPr="00D13B67">
        <w:rPr>
          <w:rFonts w:eastAsia="Aptos"/>
        </w:rPr>
        <w:t xml:space="preserve"> knowledge about what makes content accessible, and </w:t>
      </w:r>
      <w:r w:rsidR="0022045E" w:rsidRPr="00D13B67">
        <w:rPr>
          <w:rFonts w:eastAsia="Aptos"/>
        </w:rPr>
        <w:t xml:space="preserve">missing </w:t>
      </w:r>
      <w:r w:rsidR="00962CE0" w:rsidRPr="00D13B67">
        <w:rPr>
          <w:rFonts w:eastAsia="Aptos"/>
        </w:rPr>
        <w:t>skills to make accessible content</w:t>
      </w:r>
      <w:r w:rsidRPr="00D13B67">
        <w:t xml:space="preserve"> (Sanderson et al., 2022; Walz, 2024).</w:t>
      </w:r>
      <w:r w:rsidR="00962CE0" w:rsidRPr="00D13B67">
        <w:t xml:space="preserve"> However, these studies do not </w:t>
      </w:r>
      <w:r w:rsidR="00C6329D" w:rsidRPr="00D13B67">
        <w:t>provide analysis as to</w:t>
      </w:r>
      <w:r w:rsidR="00962CE0" w:rsidRPr="00D13B67">
        <w:t xml:space="preserve"> how th</w:t>
      </w:r>
      <w:r w:rsidR="00C6329D" w:rsidRPr="00D13B67">
        <w:t xml:space="preserve">ose </w:t>
      </w:r>
      <w:r w:rsidR="00012A00" w:rsidRPr="00D13B67">
        <w:t>factors</w:t>
      </w:r>
      <w:r w:rsidR="00C6329D" w:rsidRPr="00D13B67">
        <w:t xml:space="preserve"> impact disabled students, only that the</w:t>
      </w:r>
      <w:r w:rsidR="00012A00" w:rsidRPr="00D13B67">
        <w:t xml:space="preserve">y </w:t>
      </w:r>
      <w:r w:rsidR="00C6329D" w:rsidRPr="00D13B67">
        <w:t>exist</w:t>
      </w:r>
      <w:r w:rsidR="00012A00" w:rsidRPr="00D13B67">
        <w:t xml:space="preserve"> and create barriers.</w:t>
      </w:r>
      <w:r w:rsidR="00C6329D" w:rsidRPr="00D13B67">
        <w:t xml:space="preserve"> </w:t>
      </w:r>
      <w:r w:rsidR="00F80E8D" w:rsidRPr="00D13B67">
        <w:t xml:space="preserve">This work, while not documenting specific assistive technology used to protect student privacy, provides impactful and actionable </w:t>
      </w:r>
      <w:r w:rsidR="003E744D" w:rsidRPr="00D13B67">
        <w:t xml:space="preserve">knowledge to help make content more compatible with assistive technology. </w:t>
      </w:r>
    </w:p>
    <w:p w14:paraId="07A94231" w14:textId="4EDC9014" w:rsidR="003734DC" w:rsidRPr="00D13B67" w:rsidRDefault="00BD6DE9" w:rsidP="00675592">
      <w:pPr>
        <w:pStyle w:val="Body"/>
        <w:rPr>
          <w:rFonts w:eastAsia="Aptos"/>
        </w:rPr>
      </w:pPr>
      <w:r w:rsidRPr="00D13B67">
        <w:rPr>
          <w:rFonts w:eastAsia="Aptos"/>
        </w:rPr>
        <w:t>Student c</w:t>
      </w:r>
      <w:r w:rsidR="006D14EE" w:rsidRPr="00D13B67">
        <w:rPr>
          <w:rFonts w:eastAsia="Aptos"/>
        </w:rPr>
        <w:t>o-designers also mentioned negative experiences, particularly with faculty. As discussed by</w:t>
      </w:r>
      <w:r w:rsidR="00BC0B98" w:rsidRPr="00D13B67">
        <w:rPr>
          <w:rFonts w:eastAsia="Aptos"/>
        </w:rPr>
        <w:t xml:space="preserve"> </w:t>
      </w:r>
      <w:proofErr w:type="spellStart"/>
      <w:r w:rsidR="00BC0B98" w:rsidRPr="00D13B67">
        <w:rPr>
          <w:rFonts w:eastAsia="Aptos"/>
        </w:rPr>
        <w:t>Titchkosky</w:t>
      </w:r>
      <w:proofErr w:type="spellEnd"/>
      <w:r w:rsidR="00BC0B98" w:rsidRPr="00D13B67">
        <w:rPr>
          <w:rFonts w:eastAsia="Aptos"/>
        </w:rPr>
        <w:t xml:space="preserve"> (2011), Freeman (2015)</w:t>
      </w:r>
      <w:r w:rsidR="00E43EA7" w:rsidRPr="00D13B67">
        <w:rPr>
          <w:rFonts w:eastAsia="Aptos"/>
        </w:rPr>
        <w:t>,</w:t>
      </w:r>
      <w:r w:rsidR="006D14EE" w:rsidRPr="00D13B67">
        <w:rPr>
          <w:rFonts w:eastAsia="Aptos"/>
        </w:rPr>
        <w:t xml:space="preserve"> Dolmage (2017), </w:t>
      </w:r>
      <w:r w:rsidR="00701CDA" w:rsidRPr="00D13B67">
        <w:rPr>
          <w:rFonts w:eastAsia="Aptos"/>
        </w:rPr>
        <w:t xml:space="preserve">and </w:t>
      </w:r>
      <w:r w:rsidR="006D14EE" w:rsidRPr="00D13B67">
        <w:rPr>
          <w:rFonts w:eastAsia="Aptos"/>
        </w:rPr>
        <w:t>Sheets (2019)</w:t>
      </w:r>
      <w:r w:rsidR="00701CDA" w:rsidRPr="00D13B67">
        <w:rPr>
          <w:rFonts w:eastAsia="Aptos"/>
        </w:rPr>
        <w:t xml:space="preserve"> academic ableism is a consistent issue. </w:t>
      </w:r>
      <w:r w:rsidR="00587B4C" w:rsidRPr="00D13B67">
        <w:rPr>
          <w:rFonts w:eastAsia="Aptos"/>
        </w:rPr>
        <w:t>Particularly fo</w:t>
      </w:r>
      <w:r w:rsidR="00A01E01" w:rsidRPr="00D13B67">
        <w:rPr>
          <w:rFonts w:eastAsia="Aptos"/>
        </w:rPr>
        <w:t>r those</w:t>
      </w:r>
      <w:r w:rsidR="00587B4C" w:rsidRPr="00D13B67">
        <w:rPr>
          <w:rFonts w:eastAsia="Aptos"/>
        </w:rPr>
        <w:t xml:space="preserve"> with invisible </w:t>
      </w:r>
      <w:r w:rsidR="00587B4C" w:rsidRPr="00D13B67">
        <w:rPr>
          <w:rFonts w:eastAsia="Aptos"/>
        </w:rPr>
        <w:lastRenderedPageBreak/>
        <w:t>disabilities,</w:t>
      </w:r>
      <w:r w:rsidR="00B50047" w:rsidRPr="00D13B67">
        <w:rPr>
          <w:rFonts w:eastAsia="Aptos"/>
        </w:rPr>
        <w:t xml:space="preserve"> the inability of some faculty to understand why they should accommodate “someone who appeared young and health</w:t>
      </w:r>
      <w:r w:rsidR="00E43EA7" w:rsidRPr="00D13B67">
        <w:rPr>
          <w:rFonts w:eastAsia="Aptos"/>
        </w:rPr>
        <w:t>y</w:t>
      </w:r>
      <w:r w:rsidR="00B50047" w:rsidRPr="00D13B67">
        <w:rPr>
          <w:rFonts w:eastAsia="Aptos"/>
        </w:rPr>
        <w:t>”</w:t>
      </w:r>
      <w:r w:rsidR="005A15A0" w:rsidRPr="00D13B67">
        <w:rPr>
          <w:rFonts w:eastAsia="Aptos"/>
        </w:rPr>
        <w:t xml:space="preserve"> was echoed by co-designers</w:t>
      </w:r>
      <w:r w:rsidR="00B50047" w:rsidRPr="00D13B67">
        <w:rPr>
          <w:rFonts w:eastAsia="Aptos"/>
        </w:rPr>
        <w:t xml:space="preserve"> (Sheets, 2019, p. 80)</w:t>
      </w:r>
      <w:r w:rsidR="005A15A0" w:rsidRPr="00D13B67">
        <w:rPr>
          <w:rFonts w:eastAsia="Aptos"/>
        </w:rPr>
        <w:t xml:space="preserve">. </w:t>
      </w:r>
      <w:r w:rsidR="007C6066" w:rsidRPr="00D13B67">
        <w:rPr>
          <w:rFonts w:eastAsia="Aptos"/>
        </w:rPr>
        <w:t>To further emphasize the point, o</w:t>
      </w:r>
      <w:r w:rsidR="004E087D" w:rsidRPr="00D13B67">
        <w:rPr>
          <w:rFonts w:eastAsia="Aptos"/>
        </w:rPr>
        <w:t xml:space="preserve">ne survey respondent </w:t>
      </w:r>
      <w:r w:rsidR="00D1187C" w:rsidRPr="00D13B67">
        <w:rPr>
          <w:rFonts w:eastAsia="Aptos"/>
        </w:rPr>
        <w:t>“found the tone of this resource condescending” having “the impression that the authors think all instructors at Langara are lazy and do not care about students</w:t>
      </w:r>
      <w:r w:rsidR="007C6066" w:rsidRPr="00D13B67">
        <w:rPr>
          <w:rFonts w:eastAsia="Aptos"/>
        </w:rPr>
        <w:t>”</w:t>
      </w:r>
      <w:r w:rsidR="00D1187C" w:rsidRPr="00D13B67">
        <w:rPr>
          <w:rFonts w:eastAsia="Aptos"/>
        </w:rPr>
        <w:t xml:space="preserve">. As discussed in section 4.2, it was unclear if the respondent understood the resource was 90% direct quotes from current and former Langara students. </w:t>
      </w:r>
      <w:r w:rsidR="005A15A0" w:rsidRPr="00D13B67">
        <w:rPr>
          <w:rFonts w:eastAsia="Aptos"/>
        </w:rPr>
        <w:t xml:space="preserve">The intention of this study is to </w:t>
      </w:r>
      <w:r w:rsidR="00BD394E" w:rsidRPr="00D13B67">
        <w:rPr>
          <w:rFonts w:eastAsia="Aptos"/>
        </w:rPr>
        <w:t>ground post-secondary employees in an informed sense of empathy for the experience of disabled students.</w:t>
      </w:r>
      <w:r w:rsidR="00E71DB3" w:rsidRPr="00D13B67">
        <w:rPr>
          <w:rFonts w:eastAsia="Aptos"/>
        </w:rPr>
        <w:t xml:space="preserve"> This emotional response could </w:t>
      </w:r>
      <w:r w:rsidR="003E744D" w:rsidRPr="00D13B67">
        <w:rPr>
          <w:rFonts w:eastAsia="Aptos"/>
        </w:rPr>
        <w:t>indicate</w:t>
      </w:r>
      <w:r w:rsidR="00E71DB3" w:rsidRPr="00D13B67">
        <w:rPr>
          <w:rFonts w:eastAsia="Aptos"/>
        </w:rPr>
        <w:t xml:space="preserve"> their desire to change.</w:t>
      </w:r>
      <w:r w:rsidR="00BD394E" w:rsidRPr="00D13B67">
        <w:rPr>
          <w:rFonts w:eastAsia="Aptos"/>
        </w:rPr>
        <w:t xml:space="preserve"> </w:t>
      </w:r>
      <w:r w:rsidR="006E2219" w:rsidRPr="00D13B67">
        <w:rPr>
          <w:rFonts w:eastAsia="Aptos"/>
        </w:rPr>
        <w:t>The factors influenc</w:t>
      </w:r>
      <w:r w:rsidR="00E71DB3" w:rsidRPr="00D13B67">
        <w:rPr>
          <w:rFonts w:eastAsia="Aptos"/>
        </w:rPr>
        <w:t>ing</w:t>
      </w:r>
      <w:r w:rsidR="006E2219" w:rsidRPr="00D13B67">
        <w:rPr>
          <w:rFonts w:eastAsia="Aptos"/>
        </w:rPr>
        <w:t xml:space="preserve"> f</w:t>
      </w:r>
      <w:r w:rsidR="00F94458" w:rsidRPr="00D13B67">
        <w:rPr>
          <w:rFonts w:eastAsia="Aptos"/>
        </w:rPr>
        <w:t xml:space="preserve">aculty resistance to change </w:t>
      </w:r>
      <w:r w:rsidR="006E2219" w:rsidRPr="00D13B67">
        <w:rPr>
          <w:rFonts w:eastAsia="Aptos"/>
        </w:rPr>
        <w:t xml:space="preserve">may include </w:t>
      </w:r>
      <w:r w:rsidR="00D9336E" w:rsidRPr="00D13B67">
        <w:rPr>
          <w:rFonts w:eastAsia="Aptos"/>
        </w:rPr>
        <w:t xml:space="preserve">not understanding the value of change, extrinsic motivation, </w:t>
      </w:r>
      <w:r w:rsidR="00205C66" w:rsidRPr="00D13B67">
        <w:rPr>
          <w:rFonts w:eastAsia="Aptos"/>
        </w:rPr>
        <w:t xml:space="preserve">and </w:t>
      </w:r>
      <w:r w:rsidR="00D9336E" w:rsidRPr="00D13B67">
        <w:rPr>
          <w:rFonts w:eastAsia="Aptos"/>
        </w:rPr>
        <w:t>feeling unvalued</w:t>
      </w:r>
      <w:r w:rsidR="00F94458" w:rsidRPr="00D13B67">
        <w:rPr>
          <w:rFonts w:eastAsia="Aptos"/>
        </w:rPr>
        <w:t xml:space="preserve"> (</w:t>
      </w:r>
      <w:r w:rsidR="00636D90" w:rsidRPr="00D13B67">
        <w:rPr>
          <w:rFonts w:eastAsia="Aptos"/>
        </w:rPr>
        <w:t>Turner</w:t>
      </w:r>
      <w:r w:rsidR="005A675B" w:rsidRPr="00D13B67">
        <w:rPr>
          <w:rFonts w:eastAsia="Aptos"/>
        </w:rPr>
        <w:t xml:space="preserve"> &amp; Boice</w:t>
      </w:r>
      <w:r w:rsidR="00636D90" w:rsidRPr="00D13B67">
        <w:rPr>
          <w:rFonts w:eastAsia="Aptos"/>
        </w:rPr>
        <w:t xml:space="preserve">, 1986; </w:t>
      </w:r>
      <w:proofErr w:type="spellStart"/>
      <w:r w:rsidR="00636D90" w:rsidRPr="00D13B67">
        <w:rPr>
          <w:rFonts w:eastAsia="Aptos"/>
        </w:rPr>
        <w:t>McCrickerd</w:t>
      </w:r>
      <w:proofErr w:type="spellEnd"/>
      <w:r w:rsidR="00636D90" w:rsidRPr="00D13B67">
        <w:rPr>
          <w:rFonts w:eastAsia="Aptos"/>
        </w:rPr>
        <w:t xml:space="preserve">, 2012; </w:t>
      </w:r>
      <w:r w:rsidR="006E2219" w:rsidRPr="00D13B67">
        <w:rPr>
          <w:rFonts w:eastAsia="Aptos"/>
        </w:rPr>
        <w:t>Dana et al., 2021)</w:t>
      </w:r>
      <w:r w:rsidR="00205C66" w:rsidRPr="00D13B67">
        <w:rPr>
          <w:rFonts w:eastAsia="Aptos"/>
        </w:rPr>
        <w:t xml:space="preserve"> as well as </w:t>
      </w:r>
      <w:r w:rsidR="003F5FE3" w:rsidRPr="00D13B67">
        <w:rPr>
          <w:rFonts w:eastAsia="Aptos"/>
        </w:rPr>
        <w:t>perceived threats to</w:t>
      </w:r>
      <w:r w:rsidR="00205C66" w:rsidRPr="00D13B67">
        <w:rPr>
          <w:rFonts w:eastAsia="Aptos"/>
        </w:rPr>
        <w:t xml:space="preserve"> professional identity </w:t>
      </w:r>
      <w:r w:rsidR="003F5FE3" w:rsidRPr="00D13B67">
        <w:rPr>
          <w:rFonts w:eastAsia="Aptos"/>
        </w:rPr>
        <w:t>(Clegg, 2008; Brownell &amp; Tanner, 2012)</w:t>
      </w:r>
      <w:r w:rsidR="006E2219" w:rsidRPr="00D13B67">
        <w:rPr>
          <w:rFonts w:eastAsia="Aptos"/>
        </w:rPr>
        <w:t xml:space="preserve">. </w:t>
      </w:r>
      <w:r w:rsidR="003F5FE3" w:rsidRPr="00D13B67">
        <w:rPr>
          <w:rFonts w:eastAsia="Aptos"/>
        </w:rPr>
        <w:t>Understanding apprehension and resistance to change</w:t>
      </w:r>
      <w:r w:rsidR="00E71DB3" w:rsidRPr="00D13B67">
        <w:rPr>
          <w:rFonts w:eastAsia="Aptos"/>
        </w:rPr>
        <w:t xml:space="preserve"> provides useful </w:t>
      </w:r>
      <w:r w:rsidR="0091548E" w:rsidRPr="00D13B67">
        <w:rPr>
          <w:rFonts w:eastAsia="Aptos"/>
        </w:rPr>
        <w:t>information but</w:t>
      </w:r>
      <w:r w:rsidR="00E71DB3" w:rsidRPr="00D13B67">
        <w:rPr>
          <w:rFonts w:eastAsia="Aptos"/>
        </w:rPr>
        <w:t xml:space="preserve"> requires additional focus on </w:t>
      </w:r>
      <w:r w:rsidR="00CA6BDE" w:rsidRPr="00D13B67">
        <w:rPr>
          <w:rFonts w:eastAsia="Aptos"/>
        </w:rPr>
        <w:t>accessibility and inclusive education.</w:t>
      </w:r>
      <w:r w:rsidR="003F5FE3" w:rsidRPr="00D13B67">
        <w:rPr>
          <w:rFonts w:eastAsia="Aptos"/>
        </w:rPr>
        <w:t xml:space="preserve"> </w:t>
      </w:r>
      <w:r w:rsidR="00BD394E" w:rsidRPr="00D13B67">
        <w:rPr>
          <w:rFonts w:eastAsia="Aptos"/>
        </w:rPr>
        <w:t xml:space="preserve">In addition to creating more accessible digital experience for students, </w:t>
      </w:r>
      <w:r w:rsidR="00CA6BDE" w:rsidRPr="00D13B67">
        <w:rPr>
          <w:rFonts w:eastAsia="Aptos"/>
        </w:rPr>
        <w:t>this research</w:t>
      </w:r>
      <w:r w:rsidR="00BD394E" w:rsidRPr="00D13B67">
        <w:rPr>
          <w:rFonts w:eastAsia="Aptos"/>
        </w:rPr>
        <w:t xml:space="preserve"> may also reduce</w:t>
      </w:r>
      <w:r w:rsidR="0089453B" w:rsidRPr="00D13B67">
        <w:rPr>
          <w:rFonts w:eastAsia="Aptos"/>
        </w:rPr>
        <w:t>, or at least prompt people to address,</w:t>
      </w:r>
      <w:r w:rsidR="00BD394E" w:rsidRPr="00D13B67">
        <w:rPr>
          <w:rFonts w:eastAsia="Aptos"/>
        </w:rPr>
        <w:t xml:space="preserve"> feelings of academic ableism. </w:t>
      </w:r>
      <w:r w:rsidR="00663F79" w:rsidRPr="00D13B67">
        <w:rPr>
          <w:rFonts w:eastAsia="Aptos"/>
        </w:rPr>
        <w:t>Understanding what powers, and how to undo, academic ableism is a necessity for meaningful change.</w:t>
      </w:r>
      <w:r w:rsidR="00BD394E" w:rsidRPr="00D13B67">
        <w:rPr>
          <w:rFonts w:eastAsia="Aptos"/>
        </w:rPr>
        <w:t xml:space="preserve"> </w:t>
      </w:r>
    </w:p>
    <w:p w14:paraId="0013E45E" w14:textId="78332E36" w:rsidR="002B62A4" w:rsidRPr="00D13B67" w:rsidRDefault="002B62A4" w:rsidP="002B62A4">
      <w:pPr>
        <w:pStyle w:val="Body"/>
        <w:rPr>
          <w:rFonts w:eastAsia="Aptos"/>
        </w:rPr>
      </w:pPr>
      <w:r w:rsidRPr="00D13B67">
        <w:rPr>
          <w:rFonts w:eastAsia="Aptos"/>
        </w:rPr>
        <w:t>While a substantial body of literature examines the experiences of disabled post-secondary students, this study investigates specific file formats that are most beneficial for disabled students and, through the principles of inclusive design, for all students. The two-phase process, which included students co-designing a resource intended for employees, is unique to this work and provides a strong framework for rich, action-</w:t>
      </w:r>
      <w:r w:rsidRPr="00D13B67">
        <w:rPr>
          <w:rFonts w:eastAsia="Aptos"/>
        </w:rPr>
        <w:lastRenderedPageBreak/>
        <w:t xml:space="preserve">oriented research going forward. Where disabled people may “see research as a violation of their experience, as irrelevant to their needs and as failing to improve their material circumstances and quality of life”, this work employs inclusive design principles to actively engage disabled students in work that will tangibly improve their experience as a student (Oliver, 1992, p. 105). </w:t>
      </w:r>
      <w:r w:rsidR="00FE7180" w:rsidRPr="00D13B67">
        <w:rPr>
          <w:rFonts w:eastAsia="Aptos"/>
        </w:rPr>
        <w:t xml:space="preserve">This work builds on important work from disability studies, inclusive education, and accessibility </w:t>
      </w:r>
      <w:r w:rsidR="00457595" w:rsidRPr="00D13B67">
        <w:rPr>
          <w:rFonts w:eastAsia="Aptos"/>
        </w:rPr>
        <w:t>to return the focus to the lives most impacted by exclusion.</w:t>
      </w:r>
    </w:p>
    <w:p w14:paraId="63285671" w14:textId="0A5424E6" w:rsidR="00B8084E" w:rsidRPr="00D13B67" w:rsidRDefault="000216AD" w:rsidP="000216AD">
      <w:pPr>
        <w:pStyle w:val="Heading3"/>
      </w:pPr>
      <w:bookmarkStart w:id="56" w:name="_Toc228868007"/>
      <w:r w:rsidRPr="00D13B67">
        <w:t xml:space="preserve">5.4 </w:t>
      </w:r>
      <w:r w:rsidR="0061184B" w:rsidRPr="00D13B67">
        <w:t>Solutions</w:t>
      </w:r>
      <w:r w:rsidR="00A71E0A" w:rsidRPr="00D13B67">
        <w:t xml:space="preserve"> Theme</w:t>
      </w:r>
      <w:bookmarkEnd w:id="56"/>
    </w:p>
    <w:p w14:paraId="32EEB6F5" w14:textId="50839384" w:rsidR="00CF7E88" w:rsidRPr="00D13B67" w:rsidRDefault="00B8084E" w:rsidP="00090AB6">
      <w:pPr>
        <w:pStyle w:val="Body"/>
      </w:pPr>
      <w:r w:rsidRPr="00D13B67">
        <w:t xml:space="preserve">When prompted, </w:t>
      </w:r>
      <w:r w:rsidR="009F2403" w:rsidRPr="00D13B67">
        <w:t>co-designers</w:t>
      </w:r>
      <w:r w:rsidRPr="00D13B67">
        <w:t xml:space="preserve"> </w:t>
      </w:r>
      <w:r w:rsidR="002B70B4" w:rsidRPr="00D13B67">
        <w:t>shared</w:t>
      </w:r>
      <w:r w:rsidR="00BF7B65" w:rsidRPr="00D13B67">
        <w:t xml:space="preserve"> </w:t>
      </w:r>
      <w:r w:rsidR="00370CB8" w:rsidRPr="00D13B67">
        <w:t>several</w:t>
      </w:r>
      <w:r w:rsidR="009F2403" w:rsidRPr="00D13B67">
        <w:t xml:space="preserve"> practices and ideas</w:t>
      </w:r>
      <w:r w:rsidR="00370CB8" w:rsidRPr="00D13B67">
        <w:t xml:space="preserve"> for</w:t>
      </w:r>
      <w:r w:rsidR="009F2403" w:rsidRPr="00D13B67">
        <w:t xml:space="preserve"> post-secondary staff</w:t>
      </w:r>
      <w:r w:rsidR="00370CB8" w:rsidRPr="00D13B67">
        <w:t xml:space="preserve"> </w:t>
      </w:r>
      <w:r w:rsidR="009F2403" w:rsidRPr="00D13B67">
        <w:t>to improve the student experience.</w:t>
      </w:r>
      <w:r w:rsidR="00370CB8" w:rsidRPr="00D13B67">
        <w:t xml:space="preserve"> </w:t>
      </w:r>
      <w:r w:rsidR="003C7698" w:rsidRPr="00D13B67">
        <w:t>Given the limited input students have in shaping their academic accommodations (refer to section 2.1.3)</w:t>
      </w:r>
      <w:r w:rsidR="00B41256" w:rsidRPr="00D13B67">
        <w:t xml:space="preserve">, a general openness from instructors to understanding student needs was </w:t>
      </w:r>
      <w:r w:rsidR="00CF7E88" w:rsidRPr="00D13B67">
        <w:t xml:space="preserve">a common suggestion. </w:t>
      </w:r>
      <w:r w:rsidR="000E7CC4" w:rsidRPr="00D13B67">
        <w:t xml:space="preserve">More specifically, </w:t>
      </w:r>
      <w:r w:rsidR="00CF7E88" w:rsidRPr="00D13B67">
        <w:t>several</w:t>
      </w:r>
      <w:r w:rsidR="00377C8D" w:rsidRPr="00D13B67">
        <w:t xml:space="preserve"> co-designers </w:t>
      </w:r>
      <w:r w:rsidR="00CF7E88" w:rsidRPr="00D13B67">
        <w:t>noted that instructors proactively asking what would most benefit them was the single most effective way to support their success and make them feel included.</w:t>
      </w:r>
    </w:p>
    <w:p w14:paraId="64E69429" w14:textId="7AED6955" w:rsidR="001527A8" w:rsidRPr="00D13B67" w:rsidRDefault="00623EAC" w:rsidP="00C04874">
      <w:pPr>
        <w:pStyle w:val="Body"/>
        <w:rPr>
          <w:rStyle w:val="citation"/>
        </w:rPr>
      </w:pPr>
      <w:r w:rsidRPr="00D13B67">
        <w:t xml:space="preserve">Not every </w:t>
      </w:r>
      <w:r w:rsidR="0091548E" w:rsidRPr="00D13B67">
        <w:t>suggestion</w:t>
      </w:r>
      <w:r w:rsidRPr="00D13B67">
        <w:t xml:space="preserve"> can, or</w:t>
      </w:r>
      <w:r w:rsidR="00A329D0" w:rsidRPr="00D13B67">
        <w:t xml:space="preserve"> should</w:t>
      </w:r>
      <w:r w:rsidRPr="00D13B67">
        <w:t>,</w:t>
      </w:r>
      <w:r w:rsidR="00A329D0" w:rsidRPr="00D13B67">
        <w:t xml:space="preserve"> be implemented. </w:t>
      </w:r>
      <w:r w:rsidR="00A20A53" w:rsidRPr="00D13B67">
        <w:t>Kelly et al. (2024) concluded that “it is likely impossible to create an online learning experience that is perfectly tailored to each student’s individual needs; however, asking students about their preferences can help instructors tailor their courses where possible and appropriate” (p. 392). Educators may not be able to give every student every request they make, but being open to conversation can greatly improve the student experience. Dolmage (2017) references a study in which “t</w:t>
      </w:r>
      <w:r w:rsidR="00A20A53" w:rsidRPr="00D13B67">
        <w:rPr>
          <w:rStyle w:val="highlight"/>
        </w:rPr>
        <w:t>he students said, repeatedly, that professors would know what works and what needs to be done if they just asked their own students”</w:t>
      </w:r>
      <w:r w:rsidR="00A20A53" w:rsidRPr="00D13B67">
        <w:t xml:space="preserve"> </w:t>
      </w:r>
      <w:r w:rsidR="00A20A53" w:rsidRPr="00D13B67">
        <w:rPr>
          <w:rStyle w:val="citation"/>
        </w:rPr>
        <w:t>(</w:t>
      </w:r>
      <w:r w:rsidR="00A20A53" w:rsidRPr="00D13B67">
        <w:rPr>
          <w:rStyle w:val="citation-item"/>
        </w:rPr>
        <w:t>p. 132</w:t>
      </w:r>
      <w:r w:rsidR="00A20A53" w:rsidRPr="00D13B67">
        <w:rPr>
          <w:rStyle w:val="citation"/>
        </w:rPr>
        <w:t>).</w:t>
      </w:r>
      <w:r w:rsidR="00A20A53" w:rsidRPr="00D13B67">
        <w:t xml:space="preserve"> Unfortunately, </w:t>
      </w:r>
      <w:r w:rsidR="00A20A53" w:rsidRPr="00D13B67">
        <w:rPr>
          <w:rStyle w:val="highlight"/>
        </w:rPr>
        <w:t xml:space="preserve">“in </w:t>
      </w:r>
      <w:r w:rsidR="00A20A53" w:rsidRPr="00D13B67">
        <w:rPr>
          <w:rStyle w:val="highlight"/>
        </w:rPr>
        <w:lastRenderedPageBreak/>
        <w:t>the modern university, students with disabilities are kept far away from the discussions within which their input could be most illuminating, most challenging”</w:t>
      </w:r>
      <w:r w:rsidR="00A20A53" w:rsidRPr="00D13B67">
        <w:t xml:space="preserve"> </w:t>
      </w:r>
      <w:r w:rsidR="00A20A53" w:rsidRPr="00D13B67">
        <w:rPr>
          <w:rStyle w:val="citation"/>
        </w:rPr>
        <w:t>(</w:t>
      </w:r>
      <w:r w:rsidR="00A20A53" w:rsidRPr="00D13B67">
        <w:rPr>
          <w:rStyle w:val="citation-item"/>
        </w:rPr>
        <w:t>p. 43</w:t>
      </w:r>
      <w:r w:rsidR="00A20A53" w:rsidRPr="00D13B67">
        <w:rPr>
          <w:rStyle w:val="citation"/>
        </w:rPr>
        <w:t>).</w:t>
      </w:r>
      <w:r w:rsidR="00D1439A" w:rsidRPr="00D13B67">
        <w:rPr>
          <w:rStyle w:val="citation"/>
        </w:rPr>
        <w:t xml:space="preserve"> </w:t>
      </w:r>
      <w:r w:rsidR="00A97A2C" w:rsidRPr="00D13B67">
        <w:rPr>
          <w:rStyle w:val="citation"/>
        </w:rPr>
        <w:t>Through the lens of</w:t>
      </w:r>
      <w:r w:rsidR="00B9468B" w:rsidRPr="00D13B67">
        <w:rPr>
          <w:rStyle w:val="citation"/>
        </w:rPr>
        <w:t xml:space="preserve"> ‘nothing about us, without us’</w:t>
      </w:r>
      <w:r w:rsidR="00A97A2C" w:rsidRPr="00D13B67">
        <w:rPr>
          <w:rStyle w:val="citation"/>
        </w:rPr>
        <w:t>, post-secondary is dramatically failing</w:t>
      </w:r>
      <w:r w:rsidR="00C04874" w:rsidRPr="00D13B67">
        <w:rPr>
          <w:rStyle w:val="citation"/>
        </w:rPr>
        <w:t>.</w:t>
      </w:r>
    </w:p>
    <w:p w14:paraId="67540D2F" w14:textId="7F84FEB9" w:rsidR="00FC4905" w:rsidRPr="00D13B67" w:rsidRDefault="00515E06" w:rsidP="00FC4905">
      <w:pPr>
        <w:pStyle w:val="Body"/>
        <w:rPr>
          <w:rStyle w:val="citation"/>
        </w:rPr>
      </w:pPr>
      <w:r w:rsidRPr="00D13B67">
        <w:rPr>
          <w:rStyle w:val="citation"/>
        </w:rPr>
        <w:t>Co-designers understood that a</w:t>
      </w:r>
      <w:r w:rsidR="00C04874" w:rsidRPr="00D13B67">
        <w:rPr>
          <w:rStyle w:val="citation"/>
        </w:rPr>
        <w:t>ccessible design is good design.</w:t>
      </w:r>
      <w:r w:rsidR="00AF7871" w:rsidRPr="00D13B67">
        <w:rPr>
          <w:rStyle w:val="citation"/>
        </w:rPr>
        <w:t xml:space="preserve"> The co-designers </w:t>
      </w:r>
      <w:r w:rsidR="00E06B17" w:rsidRPr="00D13B67">
        <w:rPr>
          <w:rStyle w:val="citation"/>
        </w:rPr>
        <w:t>offered solutions that would make their experience</w:t>
      </w:r>
      <w:r w:rsidRPr="00D13B67">
        <w:rPr>
          <w:rStyle w:val="citation"/>
        </w:rPr>
        <w:t>, and thus the experience of all students,</w:t>
      </w:r>
      <w:r w:rsidR="00E06B17" w:rsidRPr="00D13B67">
        <w:rPr>
          <w:rStyle w:val="citation"/>
        </w:rPr>
        <w:t xml:space="preserve"> more accessible.</w:t>
      </w:r>
      <w:r w:rsidR="00C04874" w:rsidRPr="00D13B67">
        <w:rPr>
          <w:rStyle w:val="citation"/>
        </w:rPr>
        <w:t xml:space="preserve"> </w:t>
      </w:r>
      <w:r w:rsidR="00FC4905" w:rsidRPr="00D13B67">
        <w:rPr>
          <w:rStyle w:val="citation"/>
        </w:rPr>
        <w:t xml:space="preserve">When content is designed with accessibility best practices in mind, everyone benefits. The most studied format, web content, provides useful insight into the impact of accessibility on general user experience. Numerous studies find that higher levels of accessibility in web content benefits all users (Ekin et al., 2025; Palmquist &amp; </w:t>
      </w:r>
      <w:proofErr w:type="spellStart"/>
      <w:r w:rsidR="00FC4905" w:rsidRPr="00D13B67">
        <w:rPr>
          <w:rStyle w:val="citation"/>
        </w:rPr>
        <w:t>Oppmark</w:t>
      </w:r>
      <w:proofErr w:type="spellEnd"/>
      <w:r w:rsidR="00FC4905" w:rsidRPr="00D13B67">
        <w:rPr>
          <w:rStyle w:val="citation"/>
        </w:rPr>
        <w:t xml:space="preserve">, 2025). </w:t>
      </w:r>
      <w:r w:rsidR="00A20A53" w:rsidRPr="00D13B67">
        <w:rPr>
          <w:rStyle w:val="citation"/>
          <w:rFonts w:eastAsia="Aptos"/>
        </w:rPr>
        <w:t xml:space="preserve">Briggs et al. (2024) </w:t>
      </w:r>
      <w:r w:rsidR="00FC4905" w:rsidRPr="00D13B67">
        <w:rPr>
          <w:rStyle w:val="citation"/>
        </w:rPr>
        <w:t>found that</w:t>
      </w:r>
      <w:r w:rsidR="00A20A53" w:rsidRPr="00D13B67">
        <w:rPr>
          <w:rStyle w:val="citation"/>
          <w:rFonts w:eastAsia="Aptos"/>
        </w:rPr>
        <w:t xml:space="preserve"> “more rigorous conformance with accessibility standards can also improve the experience and performance of nondisabled persons” (p. 321). </w:t>
      </w:r>
      <w:r w:rsidR="00FC4905" w:rsidRPr="00D13B67">
        <w:rPr>
          <w:rStyle w:val="citation"/>
        </w:rPr>
        <w:t xml:space="preserve">Similarly, Schmutz et al. (2016) found that high levels of web accessibility conformance led to better performance including task completion time and rate of completion as well as improved user ratings about usability, aesthetics, and trustworthiness. Fritz et al. (2019) and Lazar et al. (2015) confirm that accessible content is rated as easier to use. </w:t>
      </w:r>
    </w:p>
    <w:p w14:paraId="474BE682" w14:textId="7DCEFBC1" w:rsidR="00FC4905" w:rsidRPr="00D13B67" w:rsidRDefault="00FC4905" w:rsidP="00FC4905">
      <w:pPr>
        <w:pStyle w:val="Body"/>
        <w:rPr>
          <w:rStyle w:val="citation"/>
        </w:rPr>
      </w:pPr>
      <w:r w:rsidRPr="00D13B67">
        <w:rPr>
          <w:rStyle w:val="citation"/>
        </w:rPr>
        <w:t>Pinheiro et al. (2021) provide numerous examples, including closed captions, to illustrate that in general more accessibility directly benefits everyone, not just disabled people. Consider</w:t>
      </w:r>
      <w:r w:rsidR="00A20A53" w:rsidRPr="00D13B67">
        <w:rPr>
          <w:rStyle w:val="citation"/>
        </w:rPr>
        <w:t xml:space="preserve"> the curb cut (ramped section of sidewalk that creates a smooth transition between the street and sidewalk) </w:t>
      </w:r>
      <w:r w:rsidRPr="00D13B67">
        <w:rPr>
          <w:rStyle w:val="citation"/>
        </w:rPr>
        <w:t>which was initially</w:t>
      </w:r>
      <w:r w:rsidR="00A20A53" w:rsidRPr="00D13B67">
        <w:rPr>
          <w:rStyle w:val="citation"/>
        </w:rPr>
        <w:t xml:space="preserve"> created for wheelchair users. However, </w:t>
      </w:r>
      <w:r w:rsidR="00131CB0" w:rsidRPr="00D13B67">
        <w:rPr>
          <w:rStyle w:val="citation"/>
        </w:rPr>
        <w:t>Greve (</w:t>
      </w:r>
      <w:r w:rsidR="00A20A53" w:rsidRPr="00D13B67">
        <w:rPr>
          <w:rStyle w:val="citation"/>
        </w:rPr>
        <w:t>2007</w:t>
      </w:r>
      <w:r w:rsidR="00131CB0" w:rsidRPr="00D13B67">
        <w:rPr>
          <w:rStyle w:val="citation"/>
        </w:rPr>
        <w:t>)</w:t>
      </w:r>
      <w:r w:rsidR="00A20A53" w:rsidRPr="00D13B67">
        <w:rPr>
          <w:rStyle w:val="citation"/>
        </w:rPr>
        <w:t xml:space="preserve"> found that 9 out of 10 “unencumbered pedestrians” go out of their way to use a curb cut</w:t>
      </w:r>
      <w:r w:rsidR="00131CB0" w:rsidRPr="00D13B67">
        <w:rPr>
          <w:rStyle w:val="citation"/>
        </w:rPr>
        <w:t>.</w:t>
      </w:r>
      <w:r w:rsidR="00A20A53" w:rsidRPr="00D13B67">
        <w:rPr>
          <w:rStyle w:val="citation"/>
        </w:rPr>
        <w:t xml:space="preserve"> </w:t>
      </w:r>
      <w:r w:rsidRPr="00D13B67">
        <w:rPr>
          <w:rStyle w:val="citation"/>
        </w:rPr>
        <w:t xml:space="preserve">Features designed for disabled people benefit everyone. </w:t>
      </w:r>
    </w:p>
    <w:p w14:paraId="15E1EC50" w14:textId="7F8F536C" w:rsidR="00A20A53" w:rsidRPr="00D13B67" w:rsidRDefault="00FC4905" w:rsidP="00C04874">
      <w:pPr>
        <w:pStyle w:val="Body"/>
      </w:pPr>
      <w:r w:rsidRPr="00D13B67">
        <w:rPr>
          <w:rStyle w:val="citation"/>
        </w:rPr>
        <w:lastRenderedPageBreak/>
        <w:t>In education, Gelber’s 2025</w:t>
      </w:r>
      <w:r w:rsidR="00A20A53" w:rsidRPr="00D13B67">
        <w:rPr>
          <w:rStyle w:val="citation"/>
          <w:rFonts w:eastAsia="Aptos"/>
        </w:rPr>
        <w:t xml:space="preserve"> history of learning disabilities in American higher education shows a historical pattern in which teaching techniques implemented to assist disabled students </w:t>
      </w:r>
      <w:r w:rsidRPr="00D13B67">
        <w:rPr>
          <w:rStyle w:val="citation"/>
        </w:rPr>
        <w:t xml:space="preserve">(“such as stating the goal for the class session, highlighting key points, and providing clear written directions”) </w:t>
      </w:r>
      <w:r w:rsidR="00A20A53" w:rsidRPr="00D13B67">
        <w:rPr>
          <w:rStyle w:val="citation"/>
          <w:rFonts w:eastAsia="Aptos"/>
        </w:rPr>
        <w:t>become standard practices that made instructors more effective and benefited all learners (</w:t>
      </w:r>
      <w:r w:rsidRPr="00D13B67">
        <w:rPr>
          <w:rStyle w:val="citation"/>
        </w:rPr>
        <w:t>p. 28</w:t>
      </w:r>
      <w:r w:rsidR="00A20A53" w:rsidRPr="00D13B67">
        <w:rPr>
          <w:rStyle w:val="citation"/>
          <w:rFonts w:eastAsia="Aptos"/>
        </w:rPr>
        <w:t>).</w:t>
      </w:r>
      <w:r w:rsidR="00A20A53" w:rsidRPr="00D13B67">
        <w:rPr>
          <w:rStyle w:val="citation"/>
        </w:rPr>
        <w:t xml:space="preserve"> Dolmage (2017) offers the example of describing visual content </w:t>
      </w:r>
      <w:r w:rsidR="00E7532F" w:rsidRPr="00D13B67">
        <w:rPr>
          <w:rStyle w:val="citation"/>
        </w:rPr>
        <w:t>of</w:t>
      </w:r>
      <w:r w:rsidR="00A20A53" w:rsidRPr="00D13B67">
        <w:rPr>
          <w:rStyle w:val="citation"/>
        </w:rPr>
        <w:t xml:space="preserve"> slides as a practice dictated by law instead of “recognizing that careful, thick description of visual content would be great teaching for all students” (p. 89). </w:t>
      </w:r>
      <w:r w:rsidRPr="00D13B67">
        <w:rPr>
          <w:rStyle w:val="citation"/>
        </w:rPr>
        <w:t xml:space="preserve">Other work finds that “digital accessibility practices are not only beneficial for students with disabilities, but it is also valuable for all adult learners” (Jackson, 2023, p. 110). Accessible course design benefits all students, not just disabled students (Case &amp; Davidson, 2011; </w:t>
      </w:r>
      <w:proofErr w:type="spellStart"/>
      <w:r w:rsidRPr="00D13B67">
        <w:rPr>
          <w:rStyle w:val="citation"/>
        </w:rPr>
        <w:t>Fovet</w:t>
      </w:r>
      <w:proofErr w:type="spellEnd"/>
      <w:r w:rsidRPr="00D13B67">
        <w:rPr>
          <w:rStyle w:val="citation"/>
        </w:rPr>
        <w:t xml:space="preserve"> </w:t>
      </w:r>
      <w:r w:rsidR="00550ED5" w:rsidRPr="00D13B67">
        <w:rPr>
          <w:rStyle w:val="citation"/>
        </w:rPr>
        <w:t>&amp;</w:t>
      </w:r>
      <w:r w:rsidRPr="00D13B67">
        <w:rPr>
          <w:rStyle w:val="citation"/>
        </w:rPr>
        <w:t xml:space="preserve"> Houghton, 2012). Nash et al. (2023) posits that inclusive pedagogy “supports digital access for all learners” (p. 212). </w:t>
      </w:r>
      <w:proofErr w:type="spellStart"/>
      <w:r w:rsidRPr="00D13B67">
        <w:rPr>
          <w:rStyle w:val="citation"/>
        </w:rPr>
        <w:t>Fovet</w:t>
      </w:r>
      <w:proofErr w:type="spellEnd"/>
      <w:r w:rsidRPr="00D13B67">
        <w:rPr>
          <w:rStyle w:val="citation"/>
        </w:rPr>
        <w:t xml:space="preserve"> (2020) suggests that inclusive design strategies meet most student needs and can reduce pressure on accessibility services and academic accommodations. </w:t>
      </w:r>
      <w:r w:rsidR="00FE1583" w:rsidRPr="00D13B67">
        <w:t>The solutions posited by the co-designers may solve for one (themselves) but extend to many (</w:t>
      </w:r>
      <w:r w:rsidR="00DE396B" w:rsidRPr="00D13B67">
        <w:t>all students, staff, and institutions</w:t>
      </w:r>
      <w:r w:rsidR="00FE1583" w:rsidRPr="00D13B67">
        <w:t>).</w:t>
      </w:r>
    </w:p>
    <w:p w14:paraId="303284DC" w14:textId="2F3C149C" w:rsidR="00CF72F3" w:rsidRPr="00D13B67" w:rsidRDefault="00DC1257" w:rsidP="006025AB">
      <w:pPr>
        <w:pStyle w:val="Body"/>
      </w:pPr>
      <w:r w:rsidRPr="00D13B67">
        <w:t>Given the changes to this project necessitated by the changing scope of post-secondary (as discussed in section 3.2</w:t>
      </w:r>
      <w:r w:rsidR="001E3F19" w:rsidRPr="00D13B67">
        <w:t>.3</w:t>
      </w:r>
      <w:r w:rsidRPr="00D13B67">
        <w:t>), there is a pressing need for future research with employees</w:t>
      </w:r>
      <w:r w:rsidR="00C91B5D" w:rsidRPr="00D13B67">
        <w:t xml:space="preserve"> as was planned. </w:t>
      </w:r>
      <w:r w:rsidR="00780F16" w:rsidRPr="00D13B67">
        <w:t xml:space="preserve">The initial intention was to </w:t>
      </w:r>
      <w:r w:rsidR="00DC615F" w:rsidRPr="00D13B67">
        <w:t xml:space="preserve">interview post-secondary employees about the impact of the co-designed resource and the feasibility of implementing the </w:t>
      </w:r>
      <w:r w:rsidR="00E520B2" w:rsidRPr="00D13B67">
        <w:t xml:space="preserve">changes suggested by the co-designers. </w:t>
      </w:r>
      <w:r w:rsidR="0079059E" w:rsidRPr="00D13B67">
        <w:t>A significant</w:t>
      </w:r>
      <w:r w:rsidR="00FF300A" w:rsidRPr="00D13B67">
        <w:t xml:space="preserve"> </w:t>
      </w:r>
      <w:r w:rsidR="0079059E" w:rsidRPr="00D13B67">
        <w:t xml:space="preserve">collection of </w:t>
      </w:r>
      <w:r w:rsidR="00FF300A" w:rsidRPr="00D13B67">
        <w:t>literature</w:t>
      </w:r>
      <w:r w:rsidR="00B9006E" w:rsidRPr="00D13B67">
        <w:t xml:space="preserve"> exists</w:t>
      </w:r>
      <w:r w:rsidR="00FF300A" w:rsidRPr="00D13B67">
        <w:t xml:space="preserve"> exploring how the lack of training has a significant impact on accessibility (Sanderson et al., 2022; Briggs et al., 2024; Walz, 2024). One survey respondent lamented </w:t>
      </w:r>
      <w:r w:rsidR="003D6D88" w:rsidRPr="00D13B67">
        <w:lastRenderedPageBreak/>
        <w:t xml:space="preserve">that “there is NO institutional recognition of the additional burden </w:t>
      </w:r>
      <w:proofErr w:type="gramStart"/>
      <w:r w:rsidR="003D6D88" w:rsidRPr="00D13B67">
        <w:t>this places</w:t>
      </w:r>
      <w:proofErr w:type="gramEnd"/>
      <w:r w:rsidR="003D6D88" w:rsidRPr="00D13B67">
        <w:t xml:space="preserve"> on us and very little meaningful support.” The respondent is correct to suggest institutions could do more to support the creation of accessible digital learning material. As Gifford (2024) argues</w:t>
      </w:r>
      <w:r w:rsidR="00CF72F3" w:rsidRPr="00D13B67">
        <w:t>,</w:t>
      </w:r>
    </w:p>
    <w:p w14:paraId="0AA49521" w14:textId="6E61D8E4" w:rsidR="00CF72F3" w:rsidRPr="00D13B67" w:rsidRDefault="00CF72F3" w:rsidP="00CF72F3">
      <w:pPr>
        <w:pStyle w:val="Body"/>
        <w:ind w:left="709" w:firstLine="0"/>
      </w:pPr>
      <w:r w:rsidRPr="00D13B67">
        <w:rPr>
          <w:rFonts w:eastAsia="Aptos"/>
        </w:rPr>
        <w:t>A</w:t>
      </w:r>
      <w:r w:rsidR="003D6D88" w:rsidRPr="00D13B67">
        <w:rPr>
          <w:rFonts w:eastAsia="Aptos"/>
        </w:rPr>
        <w:t>ccessibility problems could be avoided if designers and developers integrated accessibility considerations from the start rather than treating them as an afterthought. Organizations must prioritize accessibility training, operations, and budgets to enable the development of more accessible user experiences.</w:t>
      </w:r>
      <w:r w:rsidR="00043B5C" w:rsidRPr="00D13B67">
        <w:rPr>
          <w:rFonts w:eastAsia="Aptos"/>
        </w:rPr>
        <w:t xml:space="preserve"> (</w:t>
      </w:r>
      <w:r w:rsidR="007F400D" w:rsidRPr="00D13B67">
        <w:rPr>
          <w:rFonts w:eastAsia="Aptos"/>
        </w:rPr>
        <w:t>Conclusion, para. 2</w:t>
      </w:r>
      <w:r w:rsidR="00043B5C" w:rsidRPr="00D13B67">
        <w:rPr>
          <w:rFonts w:eastAsia="Aptos"/>
        </w:rPr>
        <w:t>)</w:t>
      </w:r>
      <w:r w:rsidR="003D6D88" w:rsidRPr="00D13B67">
        <w:t xml:space="preserve"> </w:t>
      </w:r>
    </w:p>
    <w:p w14:paraId="776D81F4" w14:textId="1B6EF473" w:rsidR="00C90BEE" w:rsidRPr="00D13B67" w:rsidRDefault="003D6D88" w:rsidP="00CF72F3">
      <w:pPr>
        <w:pStyle w:val="Body"/>
        <w:ind w:firstLine="0"/>
      </w:pPr>
      <w:r w:rsidRPr="00D13B67">
        <w:t xml:space="preserve">However, as this respondent is concerned about the time creating accessible material would require of them, it is not clear if </w:t>
      </w:r>
      <w:r w:rsidR="006025AB" w:rsidRPr="00D13B67">
        <w:t>additional</w:t>
      </w:r>
      <w:r w:rsidRPr="00D13B67">
        <w:t xml:space="preserve"> training would satisfy their concerns.</w:t>
      </w:r>
    </w:p>
    <w:p w14:paraId="1660B3E2" w14:textId="3E51AFF6" w:rsidR="00402C70" w:rsidRPr="00D13B67" w:rsidRDefault="00E520B2" w:rsidP="006025AB">
      <w:pPr>
        <w:pStyle w:val="Body"/>
      </w:pPr>
      <w:r w:rsidRPr="00D13B67">
        <w:t>Understanding how to best help post-secondary employees implement changes to create and choose more accessible content is a necessity to create more accessible and inclusive learning environments. Further research is needed into how to create and sustain momentum, increase institutional buy-in</w:t>
      </w:r>
      <w:r w:rsidR="00642255" w:rsidRPr="00D13B67">
        <w:t xml:space="preserve">, and best methods to upskill employees. </w:t>
      </w:r>
      <w:r w:rsidR="00046C06" w:rsidRPr="00D13B67">
        <w:t xml:space="preserve">The costs are low and the benefits are </w:t>
      </w:r>
      <w:r w:rsidR="00D13B67" w:rsidRPr="00D13B67">
        <w:t>immense</w:t>
      </w:r>
      <w:r w:rsidR="00046C06" w:rsidRPr="00D13B67">
        <w:t>.</w:t>
      </w:r>
    </w:p>
    <w:p w14:paraId="5223CBDD" w14:textId="4485E8CD" w:rsidR="00963659" w:rsidRPr="00D13B67" w:rsidRDefault="00C02F72" w:rsidP="00A85B15">
      <w:pPr>
        <w:pStyle w:val="Heading3"/>
      </w:pPr>
      <w:bookmarkStart w:id="57" w:name="_Toc228868008"/>
      <w:r w:rsidRPr="00D13B67">
        <w:t>5.</w:t>
      </w:r>
      <w:r w:rsidR="007A178B" w:rsidRPr="00D13B67">
        <w:t>5</w:t>
      </w:r>
      <w:r w:rsidR="00D471C4" w:rsidRPr="00D13B67">
        <w:t xml:space="preserve"> Implications</w:t>
      </w:r>
      <w:bookmarkEnd w:id="57"/>
    </w:p>
    <w:p w14:paraId="502E94A1" w14:textId="17B25C76" w:rsidR="00935514" w:rsidRPr="00D13B67" w:rsidRDefault="00B96510" w:rsidP="001A4D98">
      <w:pPr>
        <w:pStyle w:val="Body"/>
      </w:pPr>
      <w:r w:rsidRPr="00D13B67">
        <w:t xml:space="preserve">The implications of this research are considerable, both in </w:t>
      </w:r>
      <w:r w:rsidR="00B9006E" w:rsidRPr="00D13B67">
        <w:t xml:space="preserve">theory and </w:t>
      </w:r>
      <w:r w:rsidRPr="00D13B67">
        <w:t xml:space="preserve">practice. </w:t>
      </w:r>
      <w:r w:rsidR="00935514" w:rsidRPr="00D13B67">
        <w:t xml:space="preserve">This research demonstrates the value of direct, active engagement with </w:t>
      </w:r>
      <w:r w:rsidR="001A4D98" w:rsidRPr="00D13B67">
        <w:t>students</w:t>
      </w:r>
      <w:r w:rsidR="00046C06" w:rsidRPr="00D13B67">
        <w:t xml:space="preserve"> that </w:t>
      </w:r>
      <w:r w:rsidR="002D4E9C" w:rsidRPr="00D13B67">
        <w:t>recogniz</w:t>
      </w:r>
      <w:r w:rsidR="00046C06" w:rsidRPr="00D13B67">
        <w:t>es</w:t>
      </w:r>
      <w:r w:rsidR="002D4E9C" w:rsidRPr="00D13B67">
        <w:t xml:space="preserve"> their value</w:t>
      </w:r>
      <w:r w:rsidR="00935514" w:rsidRPr="00D13B67">
        <w:t xml:space="preserve"> as knowledge holders</w:t>
      </w:r>
      <w:r w:rsidR="001C6EFD" w:rsidRPr="00D13B67">
        <w:t>. This practice aligns with the principles of inclusive design, including inclusive practices and respect for diversity and uniqueness. A key result of phase 1</w:t>
      </w:r>
      <w:r w:rsidR="00C96B26" w:rsidRPr="00D13B67">
        <w:t xml:space="preserve"> (preference for Word and web content) emphasizes the broader </w:t>
      </w:r>
      <w:r w:rsidR="00C96B26" w:rsidRPr="00D13B67">
        <w:lastRenderedPageBreak/>
        <w:t xml:space="preserve">beneficial impact sought by inclusively designed solutions. </w:t>
      </w:r>
      <w:r w:rsidR="00F40048" w:rsidRPr="00D13B67">
        <w:t xml:space="preserve">Word documents work for everyone. More accessible documents mean more inclusion and less accommodations. </w:t>
      </w:r>
      <w:r w:rsidR="00375012" w:rsidRPr="00D13B67">
        <w:t>While new laws and new phases of law, such as ADA Title II and the Accessible Canada Act ICT Standard, may help improve rate</w:t>
      </w:r>
      <w:r w:rsidR="001A4D98" w:rsidRPr="00D13B67">
        <w:t>s</w:t>
      </w:r>
      <w:r w:rsidR="00375012" w:rsidRPr="00D13B67">
        <w:t xml:space="preserve"> of </w:t>
      </w:r>
      <w:r w:rsidR="00124B40" w:rsidRPr="00D13B67">
        <w:t xml:space="preserve">digital </w:t>
      </w:r>
      <w:r w:rsidR="00375012" w:rsidRPr="00D13B67">
        <w:t>accessibility</w:t>
      </w:r>
      <w:r w:rsidR="001820DF" w:rsidRPr="00D13B67">
        <w:t>, the desired changes must always be informed by users.</w:t>
      </w:r>
    </w:p>
    <w:p w14:paraId="23B4FE55" w14:textId="289C3E12" w:rsidR="005F7A39" w:rsidRPr="00D13B67" w:rsidRDefault="00731E23" w:rsidP="00BD59CE">
      <w:pPr>
        <w:pStyle w:val="Body"/>
      </w:pPr>
      <w:r w:rsidRPr="00D13B67">
        <w:t>This study’s</w:t>
      </w:r>
      <w:r w:rsidR="001820DF" w:rsidRPr="00D13B67">
        <w:t xml:space="preserve"> methods </w:t>
      </w:r>
      <w:r w:rsidR="004036B1" w:rsidRPr="00D13B67">
        <w:t xml:space="preserve">could be recalibrated to ask students what </w:t>
      </w:r>
      <w:r w:rsidR="001A4D98" w:rsidRPr="00D13B67">
        <w:t xml:space="preserve">file </w:t>
      </w:r>
      <w:r w:rsidR="004036B1" w:rsidRPr="00D13B67">
        <w:t xml:space="preserve">formats work best for them, expanding beyond just accessibility to consider usability and preference. Such research could work to confirm </w:t>
      </w:r>
      <w:r w:rsidR="006320D2" w:rsidRPr="00D13B67">
        <w:t>a</w:t>
      </w:r>
      <w:r w:rsidR="004036B1" w:rsidRPr="00D13B67">
        <w:t xml:space="preserve"> finding of this study</w:t>
      </w:r>
      <w:r w:rsidRPr="00D13B67">
        <w:t>,</w:t>
      </w:r>
      <w:r w:rsidR="00BD59CE" w:rsidRPr="00D13B67">
        <w:t xml:space="preserve"> </w:t>
      </w:r>
      <w:r w:rsidR="006320D2" w:rsidRPr="00D13B67">
        <w:t xml:space="preserve">should </w:t>
      </w:r>
      <w:r w:rsidRPr="00D13B67">
        <w:t>Word and web</w:t>
      </w:r>
      <w:r w:rsidR="006320D2" w:rsidRPr="00D13B67">
        <w:t xml:space="preserve"> formats be preferred by </w:t>
      </w:r>
      <w:r w:rsidR="0096450B" w:rsidRPr="00D13B67">
        <w:t>most</w:t>
      </w:r>
      <w:r w:rsidR="006320D2" w:rsidRPr="00D13B67">
        <w:t xml:space="preserve"> students</w:t>
      </w:r>
      <w:r w:rsidR="004036B1" w:rsidRPr="00D13B67">
        <w:t xml:space="preserve">. </w:t>
      </w:r>
      <w:r w:rsidR="00612CC8" w:rsidRPr="00D13B67">
        <w:t>While post-secondary students are</w:t>
      </w:r>
      <w:r w:rsidR="00BD59CE" w:rsidRPr="00D13B67">
        <w:t xml:space="preserve">, for example, </w:t>
      </w:r>
      <w:r w:rsidR="00612CC8" w:rsidRPr="00D13B67">
        <w:t>often surveyed as part of course and program review</w:t>
      </w:r>
      <w:r w:rsidR="00B11742" w:rsidRPr="00D13B67">
        <w:t>,</w:t>
      </w:r>
      <w:r w:rsidR="00BD59CE" w:rsidRPr="00D13B67">
        <w:t xml:space="preserve"> </w:t>
      </w:r>
      <w:r w:rsidR="00612CC8" w:rsidRPr="00D13B67">
        <w:t xml:space="preserve">those answers lack the rich depth of </w:t>
      </w:r>
      <w:r w:rsidR="00F40048" w:rsidRPr="00D13B67">
        <w:t>qualitative interviews. While stock multiple choice reviews of a course may provide some insight into general practices, further specifics are invaluable.</w:t>
      </w:r>
      <w:r w:rsidR="004036B1" w:rsidRPr="00D13B67">
        <w:t xml:space="preserve"> </w:t>
      </w:r>
      <w:r w:rsidR="00411841" w:rsidRPr="00D13B67">
        <w:t>Accepting that people are experts in their own experience means engaging students in rich discussion about what works, and what does not work, best for them</w:t>
      </w:r>
      <w:r w:rsidR="002520CA" w:rsidRPr="00D13B67">
        <w:t>. Such data provides</w:t>
      </w:r>
      <w:r w:rsidR="0020423C" w:rsidRPr="00D13B67">
        <w:t xml:space="preserve"> valuable insights to make teaching and learning more inclusive, effective, and enjoyable.</w:t>
      </w:r>
    </w:p>
    <w:p w14:paraId="65C497C3" w14:textId="4F1ED5A4" w:rsidR="00BC3A7C" w:rsidRPr="00D13B67" w:rsidRDefault="00F40048" w:rsidP="00465B4F">
      <w:pPr>
        <w:pStyle w:val="Body"/>
      </w:pPr>
      <w:r w:rsidRPr="00D13B67">
        <w:t>The main goal of this work was to t</w:t>
      </w:r>
      <w:r w:rsidR="00FD17A8" w:rsidRPr="00D13B67">
        <w:t xml:space="preserve">ranslate nebulous </w:t>
      </w:r>
      <w:r w:rsidRPr="00D13B67">
        <w:t>‘</w:t>
      </w:r>
      <w:r w:rsidR="00FD17A8" w:rsidRPr="00D13B67">
        <w:t>things must be accessible</w:t>
      </w:r>
      <w:r w:rsidRPr="00D13B67">
        <w:t>’</w:t>
      </w:r>
      <w:r w:rsidR="00FD17A8" w:rsidRPr="00D13B67">
        <w:t xml:space="preserve"> directives, policies, and laws into concrete action </w:t>
      </w:r>
      <w:r w:rsidRPr="00D13B67">
        <w:t>that post-secondary employees can implement immediately to include disabled students and improve the learning experience for all student</w:t>
      </w:r>
      <w:r w:rsidR="00BD59CE" w:rsidRPr="00D13B67">
        <w:t>s</w:t>
      </w:r>
      <w:r w:rsidRPr="00D13B67">
        <w:t>. If</w:t>
      </w:r>
      <w:r w:rsidR="00C11328" w:rsidRPr="00D13B67">
        <w:rPr>
          <w:rFonts w:ascii="Aptos" w:hAnsi="Aptos"/>
        </w:rPr>
        <w:t>—</w:t>
      </w:r>
      <w:r w:rsidRPr="00D13B67">
        <w:t>as the co-designers request</w:t>
      </w:r>
      <w:r w:rsidR="00BD59CE" w:rsidRPr="00D13B67">
        <w:t>ed</w:t>
      </w:r>
      <w:r w:rsidR="00C11328" w:rsidRPr="00D13B67">
        <w:rPr>
          <w:rFonts w:ascii="Aptos" w:hAnsi="Aptos"/>
        </w:rPr>
        <w:t>—</w:t>
      </w:r>
      <w:r w:rsidR="00C11328" w:rsidRPr="00D13B67">
        <w:t xml:space="preserve">content was provided in Word documents, not PDF; visuals were described when presented; and </w:t>
      </w:r>
      <w:r w:rsidR="00A85B15" w:rsidRPr="00D13B67">
        <w:t xml:space="preserve">faculty were more open to conversations about access, </w:t>
      </w:r>
      <w:r w:rsidR="00465B4F" w:rsidRPr="00D13B67">
        <w:t>all</w:t>
      </w:r>
      <w:r w:rsidR="00A85B15" w:rsidRPr="00D13B67">
        <w:t xml:space="preserve"> students would experience a fuller, more valuable education.</w:t>
      </w:r>
    </w:p>
    <w:p w14:paraId="085B6C59" w14:textId="314394E9" w:rsidR="00D471C4" w:rsidRPr="00D13B67" w:rsidRDefault="00B36654" w:rsidP="00465B4F">
      <w:pPr>
        <w:pStyle w:val="Heading3"/>
      </w:pPr>
      <w:bookmarkStart w:id="58" w:name="_Toc228868009"/>
      <w:r w:rsidRPr="00D13B67">
        <w:lastRenderedPageBreak/>
        <w:t>5.</w:t>
      </w:r>
      <w:r w:rsidR="007A178B" w:rsidRPr="00D13B67">
        <w:t>6</w:t>
      </w:r>
      <w:r w:rsidRPr="00D13B67">
        <w:t xml:space="preserve"> Strengths and Limitations</w:t>
      </w:r>
      <w:bookmarkEnd w:id="58"/>
    </w:p>
    <w:p w14:paraId="71178FB6" w14:textId="60EEFDB7" w:rsidR="00B36654" w:rsidRPr="00D13B67" w:rsidRDefault="00B36654" w:rsidP="009960F5">
      <w:pPr>
        <w:pStyle w:val="Body"/>
      </w:pPr>
      <w:r w:rsidRPr="00D13B67">
        <w:t xml:space="preserve">This project benefited from rigorous methodological direction appropriate to the aims of the research including co-design and thematic analysis that focused on student experiences. The collaborative nature of the work centered the co-designers to ensure authentic student experiences were documented. The depth of responses from co-designers represents an extremely </w:t>
      </w:r>
      <w:r w:rsidR="002520CA" w:rsidRPr="00D13B67">
        <w:t>rich</w:t>
      </w:r>
      <w:r w:rsidRPr="00D13B67">
        <w:t xml:space="preserve"> data source. Responses were detailed and reflective of the co-designers’ lived experience. In addition, while unique, each co-designer’s experience was similar enough that the data was saturated, evidenced by overlapping codes and strong themes.</w:t>
      </w:r>
    </w:p>
    <w:p w14:paraId="4FDE2240" w14:textId="436CEB44" w:rsidR="00B36654" w:rsidRPr="00D13B67" w:rsidRDefault="00B36654" w:rsidP="009960F5">
      <w:pPr>
        <w:pStyle w:val="Body"/>
      </w:pPr>
      <w:r w:rsidRPr="00D13B67">
        <w:t>While there are studies on the experience of disabled students in post-secondary education, no work addresses the barriers presented by inaccessible digital learning material. By illuminating what formats work and which do not, this novel research informs tangible, straightforward, and low-investment methods to improve accessibility and inclusive education. The direct connection between the student experience and the employees who create and choose digital learning material presents strong ecological validity for the findings. While this research presents a robust view of barriers to accessible digital learning material, this is not without limitations.</w:t>
      </w:r>
    </w:p>
    <w:p w14:paraId="17D4D85B" w14:textId="295B7B4A" w:rsidR="00B36654" w:rsidRPr="00D13B67" w:rsidRDefault="00B36654" w:rsidP="00B36654">
      <w:pPr>
        <w:pStyle w:val="Body"/>
      </w:pPr>
      <w:r w:rsidRPr="00D13B67">
        <w:t>The sample size in phase 1 (</w:t>
      </w:r>
      <w:r w:rsidRPr="00D13B67">
        <w:rPr>
          <w:i/>
        </w:rPr>
        <w:t>n</w:t>
      </w:r>
      <w:r w:rsidRPr="00D13B67">
        <w:t xml:space="preserve"> = 5) is a reasonable number of students and offers a model for future research. The limited generalizability of this sample size is of less concern within the lens of inclusive design. As this research found digital formats that work best for all the co-designers, the findings can be extended through the inclusive design practice ‘to solve for one person and then extend to many’ to make digital learning materials more </w:t>
      </w:r>
      <w:r w:rsidRPr="00D13B67">
        <w:lastRenderedPageBreak/>
        <w:t>usable for all. The sample size (</w:t>
      </w:r>
      <w:r w:rsidRPr="00D13B67">
        <w:rPr>
          <w:i/>
        </w:rPr>
        <w:t>n</w:t>
      </w:r>
      <w:r w:rsidRPr="00D13B67">
        <w:t xml:space="preserve"> = 7) in phase 2 impacts the findings and generalizability of results. Given broader sector-wide trends </w:t>
      </w:r>
      <w:r w:rsidR="00AA7887" w:rsidRPr="00D13B67">
        <w:t>of</w:t>
      </w:r>
      <w:r w:rsidRPr="00D13B67">
        <w:t xml:space="preserve"> precarious academic employment and the associated fatigue and frustration, few instructors had the capacity to engage with and provide feedback on the resource. This was expected and addressed by amendments to the original research, as discussed in section 3.2.3. While this constrained generalizability, the quantitative responses showed the value of the co-designed resource while the depth of the qualitative responses provided meaningful insight into instructor perspectives.</w:t>
      </w:r>
      <w:r w:rsidR="005B01A4" w:rsidRPr="00D13B67">
        <w:t xml:space="preserve"> This research </w:t>
      </w:r>
      <w:r w:rsidR="0020423C" w:rsidRPr="00D13B67">
        <w:t xml:space="preserve">provides a replicable model for </w:t>
      </w:r>
      <w:r w:rsidR="005B01A4" w:rsidRPr="00D13B67">
        <w:t>longitudinal and periodic</w:t>
      </w:r>
      <w:r w:rsidR="0020423C" w:rsidRPr="00D13B67">
        <w:t xml:space="preserve"> study</w:t>
      </w:r>
      <w:r w:rsidR="00E8034B" w:rsidRPr="00D13B67">
        <w:t xml:space="preserve"> to measure sustainable improvement over time</w:t>
      </w:r>
      <w:r w:rsidR="0020423C" w:rsidRPr="00D13B67">
        <w:t>,</w:t>
      </w:r>
      <w:r w:rsidR="00E8034B" w:rsidRPr="00D13B67">
        <w:t xml:space="preserve"> reflective of changing dynamics and technology.</w:t>
      </w:r>
    </w:p>
    <w:p w14:paraId="62825074" w14:textId="3595880C" w:rsidR="007A178B" w:rsidRPr="00D13B67" w:rsidRDefault="00A354C0" w:rsidP="009B7740">
      <w:pPr>
        <w:pStyle w:val="Body"/>
      </w:pPr>
      <w:r w:rsidRPr="00D13B67">
        <w:t xml:space="preserve">Ultimately, this research confirmed the hypothesis that </w:t>
      </w:r>
      <w:r w:rsidR="000147CB" w:rsidRPr="00D13B67">
        <w:t xml:space="preserve">a </w:t>
      </w:r>
      <w:r w:rsidRPr="00D13B67">
        <w:t>better understanding of the experience of disabled students</w:t>
      </w:r>
      <w:r w:rsidR="000147CB" w:rsidRPr="00D13B67">
        <w:t xml:space="preserve"> may help post-secondary employees </w:t>
      </w:r>
      <w:r w:rsidR="004B3C96" w:rsidRPr="00D13B67">
        <w:t xml:space="preserve">create and choose more accessible digital learning material. </w:t>
      </w:r>
      <w:r w:rsidR="002049D8" w:rsidRPr="00D13B67">
        <w:t xml:space="preserve">One survey respondent </w:t>
      </w:r>
      <w:r w:rsidR="002C3548" w:rsidRPr="00D13B67">
        <w:t xml:space="preserve">stated: “saying [accessibility] is legislated doesn’t seem to have the impact reading [student] quotes definitely does.” Survey responses indicate that post-secondary employees find </w:t>
      </w:r>
      <w:r w:rsidR="00EE4893" w:rsidRPr="00D13B67">
        <w:t>reading about the disabled student experience a compelling incentive to create and choose more accessible content.</w:t>
      </w:r>
      <w:r w:rsidR="009B7740" w:rsidRPr="00D13B67">
        <w:t xml:space="preserve"> However, other responses confirmed </w:t>
      </w:r>
      <w:r w:rsidR="007A178B" w:rsidRPr="00D13B67">
        <w:t>a lack of understanding by some post-secondary employees about digital accessibility and the disabled student’s experience.</w:t>
      </w:r>
      <w:r w:rsidR="00A10DE4" w:rsidRPr="00D13B67">
        <w:t xml:space="preserve"> </w:t>
      </w:r>
      <w:r w:rsidR="00360C28" w:rsidRPr="00D13B67">
        <w:t>With respect to the limit</w:t>
      </w:r>
      <w:r w:rsidR="00CB4DCA" w:rsidRPr="00D13B67">
        <w:t>ed</w:t>
      </w:r>
      <w:r w:rsidR="00DB105C" w:rsidRPr="00D13B67">
        <w:t xml:space="preserve"> number of respondents and the lack of generalizability of those results, this work produced a</w:t>
      </w:r>
      <w:r w:rsidR="0051365C" w:rsidRPr="00D13B67">
        <w:t xml:space="preserve"> robust </w:t>
      </w:r>
      <w:r w:rsidR="00DB105C" w:rsidRPr="00D13B67">
        <w:t xml:space="preserve">collection of student </w:t>
      </w:r>
      <w:r w:rsidR="00CB4DCA" w:rsidRPr="00D13B67">
        <w:t>data about the actual human cost of inaccessible digital learning material.</w:t>
      </w:r>
    </w:p>
    <w:p w14:paraId="704166DE" w14:textId="2CC8687F" w:rsidR="69A4E3F7" w:rsidRPr="00D13B67" w:rsidRDefault="00854006" w:rsidP="37CE16C3">
      <w:pPr>
        <w:pStyle w:val="Heading2"/>
      </w:pPr>
      <w:bookmarkStart w:id="59" w:name="_Toc228868010"/>
      <w:r w:rsidRPr="00D13B67">
        <w:lastRenderedPageBreak/>
        <w:t>6</w:t>
      </w:r>
      <w:r w:rsidR="0B1F42BF" w:rsidRPr="00D13B67">
        <w:t xml:space="preserve"> </w:t>
      </w:r>
      <w:r w:rsidR="69A4E3F7" w:rsidRPr="00D13B67">
        <w:t>Conclusion</w:t>
      </w:r>
      <w:bookmarkEnd w:id="59"/>
    </w:p>
    <w:p w14:paraId="1814496A" w14:textId="11EAC331" w:rsidR="61D36089" w:rsidRPr="00D13B67" w:rsidRDefault="00AA35CC" w:rsidP="00E14234">
      <w:pPr>
        <w:pStyle w:val="Body"/>
      </w:pPr>
      <w:r w:rsidRPr="00D13B67">
        <w:t xml:space="preserve">Legislation </w:t>
      </w:r>
      <w:r w:rsidR="005773FE" w:rsidRPr="00D13B67">
        <w:t xml:space="preserve">alone has </w:t>
      </w:r>
      <w:r w:rsidR="000804D7" w:rsidRPr="00D13B67">
        <w:t>been</w:t>
      </w:r>
      <w:r w:rsidR="005773FE" w:rsidRPr="00D13B67">
        <w:t xml:space="preserve"> insufficient to</w:t>
      </w:r>
      <w:r w:rsidRPr="00D13B67">
        <w:t xml:space="preserve"> </w:t>
      </w:r>
      <w:r w:rsidR="00446E73" w:rsidRPr="00D13B67">
        <w:t>improv</w:t>
      </w:r>
      <w:r w:rsidR="005773FE" w:rsidRPr="00D13B67">
        <w:t>e</w:t>
      </w:r>
      <w:r w:rsidR="00446E73" w:rsidRPr="00D13B67">
        <w:t xml:space="preserve"> the accessibility of digital learning material. </w:t>
      </w:r>
      <w:r w:rsidR="008C68BA" w:rsidRPr="00D13B67">
        <w:t xml:space="preserve">In post-secondary education, </w:t>
      </w:r>
      <w:r w:rsidR="00BB41CE" w:rsidRPr="00D13B67">
        <w:t>increasing employees’</w:t>
      </w:r>
      <w:r w:rsidR="008C68BA" w:rsidRPr="00D13B67">
        <w:t xml:space="preserve"> </w:t>
      </w:r>
      <w:r w:rsidR="00612C5C" w:rsidRPr="00D13B67">
        <w:t xml:space="preserve">understanding of </w:t>
      </w:r>
      <w:r w:rsidR="0050035C" w:rsidRPr="00D13B67">
        <w:t>student</w:t>
      </w:r>
      <w:r w:rsidR="00E81188" w:rsidRPr="00D13B67">
        <w:t>s’</w:t>
      </w:r>
      <w:r w:rsidR="0050035C" w:rsidRPr="00D13B67">
        <w:t xml:space="preserve"> experience with inaccessible content may </w:t>
      </w:r>
      <w:r w:rsidR="00E81188" w:rsidRPr="00D13B67">
        <w:t>represent</w:t>
      </w:r>
      <w:r w:rsidR="0050035C" w:rsidRPr="00D13B67">
        <w:t xml:space="preserve"> a more effective </w:t>
      </w:r>
      <w:r w:rsidR="00E81188" w:rsidRPr="00D13B67">
        <w:t>means of encouraging the creation and selection of accessible materials.</w:t>
      </w:r>
      <w:r w:rsidR="00E14234" w:rsidRPr="00D13B67">
        <w:t xml:space="preserve"> </w:t>
      </w:r>
      <w:r w:rsidR="003C5169" w:rsidRPr="00D13B67">
        <w:t>This research produced a rich</w:t>
      </w:r>
      <w:r w:rsidR="00EE5B1C" w:rsidRPr="00D13B67">
        <w:t xml:space="preserve"> </w:t>
      </w:r>
      <w:r w:rsidR="003C5169" w:rsidRPr="00D13B67">
        <w:t>collection of student experiences</w:t>
      </w:r>
      <w:r w:rsidR="001F054C" w:rsidRPr="00D13B67">
        <w:t xml:space="preserve"> with digital learning material</w:t>
      </w:r>
      <w:r w:rsidR="003C5169" w:rsidRPr="00D13B67">
        <w:t xml:space="preserve">. </w:t>
      </w:r>
      <w:r w:rsidR="001F054C" w:rsidRPr="00D13B67">
        <w:t xml:space="preserve">After </w:t>
      </w:r>
      <w:r w:rsidR="0029515A" w:rsidRPr="00D13B67">
        <w:t>engaging with</w:t>
      </w:r>
      <w:r w:rsidR="001F054C" w:rsidRPr="00D13B67">
        <w:t xml:space="preserve"> </w:t>
      </w:r>
      <w:r w:rsidR="003C5169" w:rsidRPr="00D13B67">
        <w:t>that</w:t>
      </w:r>
      <w:r w:rsidR="001F054C" w:rsidRPr="00D13B67">
        <w:t xml:space="preserve"> co-designed resource, </w:t>
      </w:r>
      <w:r w:rsidR="00870F96" w:rsidRPr="00D13B67">
        <w:t xml:space="preserve">85% of </w:t>
      </w:r>
      <w:r w:rsidR="001F054C" w:rsidRPr="00D13B67">
        <w:t xml:space="preserve">post-secondary employees </w:t>
      </w:r>
      <w:r w:rsidR="0029515A" w:rsidRPr="00D13B67">
        <w:t>reported</w:t>
      </w:r>
      <w:r w:rsidR="008E5102" w:rsidRPr="00D13B67">
        <w:t xml:space="preserve"> increased interest in creating and choosing more accessible content.</w:t>
      </w:r>
      <w:r w:rsidR="00B97883" w:rsidRPr="00D13B67">
        <w:t xml:space="preserve"> </w:t>
      </w:r>
      <w:r w:rsidR="00463E88" w:rsidRPr="00D13B67">
        <w:t>By examining</w:t>
      </w:r>
      <w:r w:rsidR="00724A51" w:rsidRPr="00D13B67">
        <w:t xml:space="preserve"> the accessibility of digital learning material from </w:t>
      </w:r>
      <w:r w:rsidR="00E167AF" w:rsidRPr="00D13B67">
        <w:t xml:space="preserve">the perspective of </w:t>
      </w:r>
      <w:r w:rsidR="00D96E58" w:rsidRPr="00D13B67">
        <w:t>disabled students</w:t>
      </w:r>
      <w:r w:rsidR="0087579F" w:rsidRPr="00D13B67">
        <w:t xml:space="preserve">, </w:t>
      </w:r>
      <w:r w:rsidR="00463E88" w:rsidRPr="00D13B67">
        <w:t>this project contributes a publicly available</w:t>
      </w:r>
      <w:r w:rsidR="00CE432F" w:rsidRPr="00D13B67">
        <w:t xml:space="preserve"> resource </w:t>
      </w:r>
      <w:r w:rsidR="003546BC" w:rsidRPr="00D13B67">
        <w:t>with</w:t>
      </w:r>
      <w:r w:rsidR="00CE432F" w:rsidRPr="00D13B67">
        <w:t xml:space="preserve"> </w:t>
      </w:r>
      <w:r w:rsidR="00463E88" w:rsidRPr="00D13B67">
        <w:t>relevance</w:t>
      </w:r>
      <w:r w:rsidR="00CE432F" w:rsidRPr="00D13B67">
        <w:t xml:space="preserve"> beyond </w:t>
      </w:r>
      <w:r w:rsidR="00463E88" w:rsidRPr="00D13B67">
        <w:t xml:space="preserve">the immediate study. In addition to its potential to inform </w:t>
      </w:r>
      <w:r w:rsidR="0087579F" w:rsidRPr="00D13B67">
        <w:t xml:space="preserve">individual </w:t>
      </w:r>
      <w:r w:rsidR="00463E88" w:rsidRPr="00D13B67">
        <w:t>practice, the resource also provides a dataset that may support future research in this area.</w:t>
      </w:r>
      <w:r w:rsidR="00E14234" w:rsidRPr="00D13B67">
        <w:t xml:space="preserve"> </w:t>
      </w:r>
      <w:r w:rsidR="009516AF" w:rsidRPr="00D13B67">
        <w:t xml:space="preserve">Ad hoc accommodations are not </w:t>
      </w:r>
      <w:r w:rsidR="00164B3F" w:rsidRPr="00D13B67">
        <w:t xml:space="preserve">a </w:t>
      </w:r>
      <w:r w:rsidR="00C324EA" w:rsidRPr="00D13B67">
        <w:t>sustainable</w:t>
      </w:r>
      <w:r w:rsidR="00393450" w:rsidRPr="00D13B67">
        <w:t xml:space="preserve"> substitute for accessibility</w:t>
      </w:r>
      <w:r w:rsidR="00C324EA" w:rsidRPr="00D13B67">
        <w:t>,</w:t>
      </w:r>
      <w:r w:rsidR="00722E05" w:rsidRPr="00D13B67">
        <w:t xml:space="preserve"> nor do they advance accessibility </w:t>
      </w:r>
      <w:r w:rsidR="00C324EA" w:rsidRPr="00D13B67">
        <w:t xml:space="preserve">or inclusion. </w:t>
      </w:r>
      <w:r w:rsidR="007047A9" w:rsidRPr="00D13B67">
        <w:t xml:space="preserve">Understanding the necessity and value of </w:t>
      </w:r>
      <w:r w:rsidR="00E14234" w:rsidRPr="00D13B67">
        <w:t xml:space="preserve">accessible digital learning materials is paramount to effective inclusive education. </w:t>
      </w:r>
      <w:r w:rsidR="00EE378B" w:rsidRPr="00D13B67">
        <w:t>This study finds that where legislation alone has had limited impact</w:t>
      </w:r>
      <w:r w:rsidR="00164B3F" w:rsidRPr="00D13B67">
        <w:t>,</w:t>
      </w:r>
      <w:r w:rsidR="00EE378B" w:rsidRPr="00D13B67">
        <w:t xml:space="preserve"> </w:t>
      </w:r>
      <w:proofErr w:type="gramStart"/>
      <w:r w:rsidR="00EE378B" w:rsidRPr="00D13B67">
        <w:t>fostering</w:t>
      </w:r>
      <w:proofErr w:type="gramEnd"/>
      <w:r w:rsidR="00EE378B" w:rsidRPr="00D13B67">
        <w:t xml:space="preserve"> greater empathy and understanding among post-secondary employees may offer a promising path to reducing the exclusion of disabled students.</w:t>
      </w:r>
      <w:r w:rsidR="61D36089" w:rsidRPr="00D13B67">
        <w:br w:type="page"/>
      </w:r>
    </w:p>
    <w:p w14:paraId="5D51173C" w14:textId="77777777" w:rsidR="1E587983" w:rsidRPr="00D13B67" w:rsidRDefault="1E587983" w:rsidP="61D36089">
      <w:pPr>
        <w:pStyle w:val="Heading2"/>
      </w:pPr>
      <w:bookmarkStart w:id="60" w:name="_Toc228868011"/>
      <w:r w:rsidRPr="00D13B67">
        <w:lastRenderedPageBreak/>
        <w:t>References</w:t>
      </w:r>
      <w:bookmarkEnd w:id="60"/>
    </w:p>
    <w:p w14:paraId="7EFDD70F" w14:textId="7FFA563C" w:rsidR="00546A7B" w:rsidRPr="00D13B67" w:rsidRDefault="00546A7B" w:rsidP="00305C0E">
      <w:pPr>
        <w:pStyle w:val="Reference"/>
      </w:pPr>
      <w:r w:rsidRPr="00D13B67">
        <w:t xml:space="preserve">A More Accessible Internet. (1999, December 9). </w:t>
      </w:r>
      <w:r w:rsidRPr="00D13B67">
        <w:rPr>
          <w:i/>
        </w:rPr>
        <w:t>The Christian Science Monitor</w:t>
      </w:r>
      <w:r w:rsidRPr="00D13B67">
        <w:t xml:space="preserve">, 10-10:1. </w:t>
      </w:r>
      <w:hyperlink r:id="rId19" w:history="1">
        <w:r w:rsidR="00B73693" w:rsidRPr="00D13B67">
          <w:rPr>
            <w:rStyle w:val="Hyperlink"/>
          </w:rPr>
          <w:t>https://www.csmonitor.com/1999/1209/p10s2.html</w:t>
        </w:r>
      </w:hyperlink>
    </w:p>
    <w:p w14:paraId="0225B822" w14:textId="1D0E7223" w:rsidR="004E1EF9" w:rsidRPr="00D13B67" w:rsidRDefault="00F27FAC" w:rsidP="00305C0E">
      <w:pPr>
        <w:pStyle w:val="Reference"/>
      </w:pPr>
      <w:r w:rsidRPr="00D13B67">
        <w:t xml:space="preserve">Accessibility for Ontarians with Disabilities Act Alliance. (2018). News </w:t>
      </w:r>
      <w:r w:rsidR="008A0796" w:rsidRPr="00D13B67">
        <w:t>release: grassroots disability coalition’s new report reveals five consecutive years</w:t>
      </w:r>
      <w:r w:rsidRPr="00D13B67">
        <w:t xml:space="preserve"> of </w:t>
      </w:r>
      <w:r w:rsidR="008A0796" w:rsidRPr="00D13B67">
        <w:t>rampant violations</w:t>
      </w:r>
      <w:r w:rsidRPr="00D13B67">
        <w:t xml:space="preserve"> of Ontario’s </w:t>
      </w:r>
      <w:r w:rsidR="008A0796" w:rsidRPr="00D13B67">
        <w:t>disabilities act, known</w:t>
      </w:r>
      <w:r w:rsidRPr="00D13B67">
        <w:t xml:space="preserve"> to the Wynne </w:t>
      </w:r>
      <w:r w:rsidR="008A0796" w:rsidRPr="00D13B67">
        <w:t>government, and ineffective provincial enforcement, despite unkept government promises</w:t>
      </w:r>
      <w:r w:rsidRPr="00D13B67">
        <w:t xml:space="preserve"> to </w:t>
      </w:r>
      <w:r w:rsidR="008A0796" w:rsidRPr="00D13B67">
        <w:t>effectively enforce</w:t>
      </w:r>
      <w:r w:rsidRPr="00D13B67">
        <w:t xml:space="preserve"> this </w:t>
      </w:r>
      <w:r w:rsidR="008A0796" w:rsidRPr="00D13B67">
        <w:t>law</w:t>
      </w:r>
      <w:r w:rsidRPr="00D13B67">
        <w:t xml:space="preserve"> – AODA </w:t>
      </w:r>
      <w:r w:rsidR="008A0796" w:rsidRPr="00D13B67">
        <w:t>alliance</w:t>
      </w:r>
      <w:r w:rsidRPr="00D13B67">
        <w:t xml:space="preserve">. </w:t>
      </w:r>
      <w:hyperlink r:id="rId20" w:history="1">
        <w:r w:rsidRPr="00D13B67">
          <w:rPr>
            <w:rStyle w:val="Hyperlink"/>
          </w:rPr>
          <w:t>https://www.aodaalliance.org/whats-new/news-release-grassroots-disability-coalitions-new-report-reveals-five-consecutive-years-of-rampant-violations-of-ontarios-disabilities-act-known-to-the-wynne-government-and-ineffective-provinci/</w:t>
        </w:r>
      </w:hyperlink>
    </w:p>
    <w:p w14:paraId="14E24125" w14:textId="0CB25F84" w:rsidR="006625B7" w:rsidRPr="00D13B67" w:rsidRDefault="006625B7" w:rsidP="00305C0E">
      <w:pPr>
        <w:pStyle w:val="Reference"/>
      </w:pPr>
      <w:r w:rsidRPr="00D13B67">
        <w:t xml:space="preserve">Adam, T., &amp; Warner-Griffin, C. (2022). Use of </w:t>
      </w:r>
      <w:r w:rsidR="0042741E" w:rsidRPr="00D13B67">
        <w:t>supports</w:t>
      </w:r>
      <w:r w:rsidRPr="00D13B67">
        <w:t xml:space="preserve"> among </w:t>
      </w:r>
      <w:r w:rsidR="0042741E" w:rsidRPr="00D13B67">
        <w:t>students</w:t>
      </w:r>
      <w:r w:rsidRPr="00D13B67">
        <w:t xml:space="preserve"> with </w:t>
      </w:r>
      <w:r w:rsidR="0042741E" w:rsidRPr="00D13B67">
        <w:t>disabilities</w:t>
      </w:r>
      <w:r w:rsidRPr="00D13B67">
        <w:t xml:space="preserve"> and </w:t>
      </w:r>
      <w:r w:rsidR="0042741E" w:rsidRPr="00D13B67">
        <w:t>special needs</w:t>
      </w:r>
      <w:r w:rsidRPr="00D13B67">
        <w:t xml:space="preserve"> in </w:t>
      </w:r>
      <w:r w:rsidR="0042741E" w:rsidRPr="00D13B67">
        <w:t>college</w:t>
      </w:r>
      <w:r w:rsidRPr="00D13B67">
        <w:rPr>
          <w:i/>
          <w:iCs/>
        </w:rPr>
        <w:t>. Data Point. NCES 2022-071</w:t>
      </w:r>
      <w:r w:rsidRPr="00D13B67">
        <w:t xml:space="preserve">. National Center for Education Statistics. </w:t>
      </w:r>
      <w:hyperlink r:id="rId21" w:history="1">
        <w:r w:rsidRPr="00D13B67">
          <w:rPr>
            <w:rStyle w:val="Hyperlink"/>
          </w:rPr>
          <w:t>https://eric.ed.gov/?id=ED618477</w:t>
        </w:r>
      </w:hyperlink>
    </w:p>
    <w:p w14:paraId="50BE30C0" w14:textId="228B8F46" w:rsidR="00546A7B" w:rsidRPr="00D13B67" w:rsidRDefault="0082090E" w:rsidP="00305C0E">
      <w:pPr>
        <w:pStyle w:val="Reference"/>
      </w:pPr>
      <w:r w:rsidRPr="00D13B67">
        <w:t xml:space="preserve">Ahmed, S. (2007). ‘You end up doing the document rather than doing the doing’: Diversity, race equality and the politics of documentation. </w:t>
      </w:r>
      <w:r w:rsidRPr="00D13B67">
        <w:rPr>
          <w:i/>
          <w:iCs/>
        </w:rPr>
        <w:t>Ethnic and Racial Studies, 30</w:t>
      </w:r>
      <w:r w:rsidRPr="00D13B67">
        <w:t xml:space="preserve">(4), 590–609. </w:t>
      </w:r>
      <w:hyperlink r:id="rId22" w:history="1">
        <w:r w:rsidRPr="00D13B67">
          <w:rPr>
            <w:rStyle w:val="Hyperlink"/>
          </w:rPr>
          <w:t>https://doi.org/10.1080/01419870701356015</w:t>
        </w:r>
      </w:hyperlink>
    </w:p>
    <w:p w14:paraId="7E03B876" w14:textId="4B979CCB" w:rsidR="1F0F9854" w:rsidRPr="00D13B67" w:rsidRDefault="1F0F9854" w:rsidP="00305C0E">
      <w:pPr>
        <w:pStyle w:val="Reference"/>
      </w:pPr>
      <w:proofErr w:type="spellStart"/>
      <w:r w:rsidRPr="00D13B67">
        <w:t>Aldè</w:t>
      </w:r>
      <w:proofErr w:type="spellEnd"/>
      <w:r w:rsidRPr="00D13B67">
        <w:t xml:space="preserve">, M., Ambrosetti, U., Barozzi, S., &amp; </w:t>
      </w:r>
      <w:proofErr w:type="spellStart"/>
      <w:r w:rsidRPr="00D13B67">
        <w:t>Aldè</w:t>
      </w:r>
      <w:proofErr w:type="spellEnd"/>
      <w:r w:rsidRPr="00D13B67">
        <w:t xml:space="preserve">, S. (2025). </w:t>
      </w:r>
      <w:r w:rsidR="0042741E" w:rsidRPr="00D13B67">
        <w:t>The ongoing challenges</w:t>
      </w:r>
      <w:r w:rsidRPr="00D13B67">
        <w:t xml:space="preserve"> of </w:t>
      </w:r>
      <w:r w:rsidR="0042741E" w:rsidRPr="00D13B67">
        <w:t>hearing loss: stigma, socio-cultural differences</w:t>
      </w:r>
      <w:r w:rsidRPr="00D13B67">
        <w:t xml:space="preserve">, and </w:t>
      </w:r>
      <w:r w:rsidR="0042741E" w:rsidRPr="00D13B67">
        <w:t>accessibility barriers</w:t>
      </w:r>
      <w:r w:rsidRPr="00D13B67">
        <w:t xml:space="preserve">. </w:t>
      </w:r>
      <w:r w:rsidRPr="00D13B67">
        <w:rPr>
          <w:i/>
        </w:rPr>
        <w:t>Audiology Research, 15</w:t>
      </w:r>
      <w:r w:rsidRPr="00D13B67">
        <w:t xml:space="preserve">(3), 46. </w:t>
      </w:r>
      <w:hyperlink r:id="rId23">
        <w:r w:rsidRPr="00D13B67">
          <w:rPr>
            <w:rStyle w:val="Hyperlink"/>
          </w:rPr>
          <w:t>https://doi.org/10.3390/audiolres15030046</w:t>
        </w:r>
      </w:hyperlink>
    </w:p>
    <w:p w14:paraId="70B18B95" w14:textId="6C58AFB8" w:rsidR="00031766" w:rsidRPr="00D13B67" w:rsidRDefault="00B61A90" w:rsidP="00305C0E">
      <w:pPr>
        <w:pStyle w:val="Reference"/>
      </w:pPr>
      <w:r w:rsidRPr="00D13B67">
        <w:t xml:space="preserve">Altman, B. M. (2001). Disability </w:t>
      </w:r>
      <w:r w:rsidR="0042741E" w:rsidRPr="00D13B67">
        <w:t>definitions, models, classification schemes</w:t>
      </w:r>
      <w:r w:rsidRPr="00D13B67">
        <w:t xml:space="preserve">, and </w:t>
      </w:r>
      <w:r w:rsidR="0042741E" w:rsidRPr="00D13B67">
        <w:t>applications.</w:t>
      </w:r>
      <w:r w:rsidRPr="00D13B67">
        <w:t xml:space="preserve"> In G. L. Albrecht, K. D. Seelman, &amp; M. Bury, </w:t>
      </w:r>
      <w:r w:rsidRPr="00D13B67">
        <w:rPr>
          <w:i/>
          <w:iCs/>
        </w:rPr>
        <w:t>Handbook of Disability Studies</w:t>
      </w:r>
      <w:r w:rsidRPr="00D13B67">
        <w:t xml:space="preserve"> (pp. 97–122). SAGE Publications.</w:t>
      </w:r>
    </w:p>
    <w:p w14:paraId="7151E3B8" w14:textId="0D37238F" w:rsidR="0062669E" w:rsidRPr="00D13B67" w:rsidRDefault="0062669E" w:rsidP="00305C0E">
      <w:pPr>
        <w:pStyle w:val="Reference"/>
      </w:pPr>
      <w:r w:rsidRPr="00D13B67">
        <w:t>Álvarez-</w:t>
      </w:r>
      <w:proofErr w:type="spellStart"/>
      <w:r w:rsidRPr="00D13B67">
        <w:t>Godos</w:t>
      </w:r>
      <w:proofErr w:type="spellEnd"/>
      <w:r w:rsidRPr="00D13B67">
        <w:t xml:space="preserve">, M., Ferreira, C., &amp; Vieira, M.-J. (2023). A systematic review of actions aimed at university students with ADHD. </w:t>
      </w:r>
      <w:r w:rsidRPr="00D13B67">
        <w:rPr>
          <w:i/>
          <w:iCs/>
        </w:rPr>
        <w:t>Frontiers in Psychology</w:t>
      </w:r>
      <w:r w:rsidRPr="00D13B67">
        <w:t xml:space="preserve">, </w:t>
      </w:r>
      <w:r w:rsidRPr="00D13B67">
        <w:rPr>
          <w:i/>
          <w:iCs/>
        </w:rPr>
        <w:t>14</w:t>
      </w:r>
      <w:r w:rsidRPr="00D13B67">
        <w:t xml:space="preserve">. </w:t>
      </w:r>
      <w:hyperlink r:id="rId24" w:history="1">
        <w:r w:rsidRPr="00D13B67">
          <w:rPr>
            <w:rStyle w:val="Hyperlink"/>
          </w:rPr>
          <w:t>https://doi.org/10.3389/fpsyg.2023.1216692</w:t>
        </w:r>
      </w:hyperlink>
    </w:p>
    <w:p w14:paraId="2C8AD271" w14:textId="73DCC784" w:rsidR="00575ECD" w:rsidRPr="00D13B67" w:rsidRDefault="003439C1" w:rsidP="00305C0E">
      <w:pPr>
        <w:pStyle w:val="Reference"/>
      </w:pPr>
      <w:r w:rsidRPr="00D13B67">
        <w:t xml:space="preserve">Alyass, G. (2024). </w:t>
      </w:r>
      <w:r w:rsidR="0042741E" w:rsidRPr="00D13B67">
        <w:t>A reasonable accommodation? Meaningful access? For whom? A critique of accommodation approaches in Canadian higher education</w:t>
      </w:r>
      <w:r w:rsidRPr="00D13B67">
        <w:t xml:space="preserve">. </w:t>
      </w:r>
      <w:r w:rsidRPr="00D13B67">
        <w:rPr>
          <w:i/>
        </w:rPr>
        <w:t>Educational Planning</w:t>
      </w:r>
      <w:r w:rsidRPr="00D13B67">
        <w:t xml:space="preserve">, </w:t>
      </w:r>
      <w:r w:rsidRPr="00D13B67">
        <w:rPr>
          <w:i/>
        </w:rPr>
        <w:t>31</w:t>
      </w:r>
      <w:r w:rsidRPr="00D13B67">
        <w:t>(2), 51–62.</w:t>
      </w:r>
      <w:r w:rsidR="00575ECD" w:rsidRPr="00D13B67">
        <w:t xml:space="preserve"> </w:t>
      </w:r>
      <w:hyperlink r:id="rId25" w:history="1">
        <w:r w:rsidR="00575ECD" w:rsidRPr="00D13B67">
          <w:rPr>
            <w:rStyle w:val="Hyperlink"/>
          </w:rPr>
          <w:t>https://nceo.info/references/_PEuqMBfTD6N3uzPgtsoVg</w:t>
        </w:r>
      </w:hyperlink>
    </w:p>
    <w:p w14:paraId="6EA3F862" w14:textId="77777777" w:rsidR="1DE9EF40" w:rsidRPr="00D13B67" w:rsidRDefault="1DE9EF40" w:rsidP="00305C0E">
      <w:pPr>
        <w:pStyle w:val="Reference"/>
        <w:rPr>
          <w:rFonts w:ascii="Aptos" w:hAnsi="Aptos"/>
        </w:rPr>
      </w:pPr>
      <w:r w:rsidRPr="00D13B67">
        <w:lastRenderedPageBreak/>
        <w:t>American Psychological Association.</w:t>
      </w:r>
      <w:r w:rsidR="2ED12765" w:rsidRPr="00D13B67">
        <w:t xml:space="preserve"> (2020). </w:t>
      </w:r>
      <w:r w:rsidRPr="00D13B67">
        <w:t>Publication manual of the American Psychological Association: The official guide to APA style. (</w:t>
      </w:r>
      <w:r w:rsidR="7A348AA7" w:rsidRPr="00D13B67">
        <w:t>7th ed</w:t>
      </w:r>
      <w:r w:rsidRPr="00D13B67">
        <w:t>.). American Psychological Association.</w:t>
      </w:r>
    </w:p>
    <w:p w14:paraId="0D65809E" w14:textId="77777777" w:rsidR="7B285182" w:rsidRPr="00D13B67" w:rsidRDefault="7B285182" w:rsidP="00305C0E">
      <w:pPr>
        <w:pStyle w:val="Reference"/>
      </w:pPr>
      <w:r w:rsidRPr="00D13B67">
        <w:t xml:space="preserve">Andrews, E. E., Powell, R. M., &amp; Ayers, K. (2022). The evolution of disability language: Choosing terms to describe disability. </w:t>
      </w:r>
      <w:r w:rsidRPr="00D13B67">
        <w:rPr>
          <w:i/>
          <w:iCs/>
        </w:rPr>
        <w:t>Disability and Health Journal, 15</w:t>
      </w:r>
      <w:r w:rsidRPr="00D13B67">
        <w:t xml:space="preserve">(3), 101328. </w:t>
      </w:r>
      <w:hyperlink r:id="rId26">
        <w:r w:rsidRPr="00D13B67">
          <w:rPr>
            <w:rStyle w:val="Hyperlink"/>
          </w:rPr>
          <w:t>https://doi.org/10.1016/j.dhjo.2022.101328</w:t>
        </w:r>
      </w:hyperlink>
    </w:p>
    <w:p w14:paraId="39383D20" w14:textId="604DE14F" w:rsidR="00020632" w:rsidRPr="00D13B67" w:rsidRDefault="00020632" w:rsidP="00305C0E">
      <w:pPr>
        <w:pStyle w:val="Reference"/>
      </w:pPr>
      <w:r w:rsidRPr="00D13B67">
        <w:t xml:space="preserve">Ashbourne, K. (2024, January 19). Provocations: When </w:t>
      </w:r>
      <w:r w:rsidR="0042741E" w:rsidRPr="00D13B67">
        <w:t>would</w:t>
      </w:r>
      <w:r w:rsidRPr="00D13B67">
        <w:t xml:space="preserve"> be a </w:t>
      </w:r>
      <w:r w:rsidR="0042741E" w:rsidRPr="00D13B67">
        <w:t>good time</w:t>
      </w:r>
      <w:r w:rsidRPr="00D13B67">
        <w:t xml:space="preserve">? </w:t>
      </w:r>
      <w:proofErr w:type="spellStart"/>
      <w:r w:rsidRPr="00D13B67">
        <w:rPr>
          <w:i/>
          <w:iCs/>
        </w:rPr>
        <w:t>CanDARE</w:t>
      </w:r>
      <w:proofErr w:type="spellEnd"/>
      <w:r w:rsidRPr="00D13B67">
        <w:rPr>
          <w:i/>
          <w:iCs/>
        </w:rPr>
        <w:t xml:space="preserve"> (Digital Accessibility Research in Education)</w:t>
      </w:r>
      <w:r w:rsidRPr="00D13B67">
        <w:t xml:space="preserve">. </w:t>
      </w:r>
      <w:hyperlink r:id="rId27" w:history="1">
        <w:r w:rsidRPr="00D13B67">
          <w:rPr>
            <w:rStyle w:val="Hyperlink"/>
          </w:rPr>
          <w:t>https://www.candare.ca/2024/01/provocations-when-is-a-good-time/</w:t>
        </w:r>
      </w:hyperlink>
    </w:p>
    <w:p w14:paraId="36D126F1" w14:textId="52800388" w:rsidR="002B2FF2" w:rsidRPr="00D13B67" w:rsidRDefault="002B2FF2" w:rsidP="00305C0E">
      <w:pPr>
        <w:pStyle w:val="Reference"/>
      </w:pPr>
      <w:r w:rsidRPr="00D13B67">
        <w:t xml:space="preserve">axes4 &amp; </w:t>
      </w:r>
      <w:proofErr w:type="spellStart"/>
      <w:r w:rsidRPr="00D13B67">
        <w:t>mindscreen</w:t>
      </w:r>
      <w:proofErr w:type="spellEnd"/>
      <w:r w:rsidRPr="00D13B67">
        <w:t xml:space="preserve">. (2026). Report on Accessibility of PDF Documents. </w:t>
      </w:r>
      <w:r w:rsidRPr="00D13B67">
        <w:rPr>
          <w:i/>
          <w:iCs/>
        </w:rPr>
        <w:t>Digital Accessibility Report.</w:t>
      </w:r>
      <w:r w:rsidRPr="00D13B67">
        <w:t xml:space="preserve"> </w:t>
      </w:r>
      <w:hyperlink r:id="rId28" w:history="1">
        <w:r w:rsidRPr="00D13B67">
          <w:rPr>
            <w:rStyle w:val="Hyperlink"/>
          </w:rPr>
          <w:t>https://www.digitalaccessibility.report/</w:t>
        </w:r>
      </w:hyperlink>
    </w:p>
    <w:p w14:paraId="1E708BEE" w14:textId="77777777" w:rsidR="0062669E" w:rsidRPr="00D13B67" w:rsidRDefault="0062669E" w:rsidP="00305C0E">
      <w:pPr>
        <w:pStyle w:val="Reference"/>
      </w:pPr>
      <w:proofErr w:type="spellStart"/>
      <w:r w:rsidRPr="00D13B67">
        <w:t>Baeyens</w:t>
      </w:r>
      <w:proofErr w:type="spellEnd"/>
      <w:r w:rsidRPr="00D13B67">
        <w:t xml:space="preserve">, D. (2021). Effectiveness of reasonable accommodations in students with ADHD: An experimental and intervention study. </w:t>
      </w:r>
      <w:proofErr w:type="spellStart"/>
      <w:r w:rsidRPr="00D13B67">
        <w:rPr>
          <w:i/>
          <w:iCs/>
        </w:rPr>
        <w:t>Pedagogische</w:t>
      </w:r>
      <w:proofErr w:type="spellEnd"/>
      <w:r w:rsidRPr="00D13B67">
        <w:rPr>
          <w:i/>
          <w:iCs/>
        </w:rPr>
        <w:t xml:space="preserve"> </w:t>
      </w:r>
      <w:proofErr w:type="spellStart"/>
      <w:r w:rsidRPr="00D13B67">
        <w:rPr>
          <w:i/>
          <w:iCs/>
        </w:rPr>
        <w:t>Studiën</w:t>
      </w:r>
      <w:proofErr w:type="spellEnd"/>
      <w:r w:rsidRPr="00D13B67">
        <w:t xml:space="preserve">, </w:t>
      </w:r>
      <w:r w:rsidRPr="00D13B67">
        <w:rPr>
          <w:i/>
          <w:iCs/>
        </w:rPr>
        <w:t>98</w:t>
      </w:r>
      <w:r w:rsidRPr="00D13B67">
        <w:t xml:space="preserve">(4). </w:t>
      </w:r>
      <w:hyperlink r:id="rId29" w:history="1">
        <w:r w:rsidRPr="00D13B67">
          <w:rPr>
            <w:rStyle w:val="Hyperlink"/>
          </w:rPr>
          <w:t>https://pedagogischestudien.nl/article/view/13714</w:t>
        </w:r>
      </w:hyperlink>
    </w:p>
    <w:p w14:paraId="1D4E7C42" w14:textId="07513B1B" w:rsidR="007C5852" w:rsidRPr="00D13B67" w:rsidRDefault="007C5852" w:rsidP="00305C0E">
      <w:pPr>
        <w:pStyle w:val="Reference"/>
      </w:pPr>
      <w:r w:rsidRPr="00D13B67">
        <w:t xml:space="preserve">Bartz, J. (2020). All </w:t>
      </w:r>
      <w:r w:rsidR="0076239D" w:rsidRPr="00D13B67">
        <w:t>inclusive?!</w:t>
      </w:r>
      <w:r w:rsidRPr="00D13B67">
        <w:t xml:space="preserve"> Empirical </w:t>
      </w:r>
      <w:r w:rsidR="0076239D" w:rsidRPr="00D13B67">
        <w:t>insights</w:t>
      </w:r>
      <w:r w:rsidRPr="00D13B67">
        <w:t xml:space="preserve"> into </w:t>
      </w:r>
      <w:r w:rsidR="0076239D" w:rsidRPr="00D13B67">
        <w:t>individual experiences</w:t>
      </w:r>
      <w:r w:rsidRPr="00D13B67">
        <w:t xml:space="preserve"> of </w:t>
      </w:r>
      <w:r w:rsidR="0076239D" w:rsidRPr="00D13B67">
        <w:t>students</w:t>
      </w:r>
      <w:r w:rsidRPr="00D13B67">
        <w:t xml:space="preserve"> with </w:t>
      </w:r>
      <w:r w:rsidR="0076239D" w:rsidRPr="00D13B67">
        <w:t>disabilities</w:t>
      </w:r>
      <w:r w:rsidRPr="00D13B67">
        <w:t xml:space="preserve"> and </w:t>
      </w:r>
      <w:r w:rsidR="0076239D" w:rsidRPr="00D13B67">
        <w:t>mental disorders</w:t>
      </w:r>
      <w:r w:rsidRPr="00D13B67">
        <w:t xml:space="preserve"> at German </w:t>
      </w:r>
      <w:r w:rsidR="0076239D" w:rsidRPr="00D13B67">
        <w:t>universities</w:t>
      </w:r>
      <w:r w:rsidRPr="00D13B67">
        <w:t xml:space="preserve"> and </w:t>
      </w:r>
      <w:r w:rsidR="0076239D" w:rsidRPr="00D13B67">
        <w:t>implications</w:t>
      </w:r>
      <w:r w:rsidRPr="00D13B67">
        <w:t xml:space="preserve"> for </w:t>
      </w:r>
      <w:r w:rsidR="0076239D" w:rsidRPr="00D13B67">
        <w:t>inclusive higher education</w:t>
      </w:r>
      <w:r w:rsidRPr="00D13B67">
        <w:t xml:space="preserve">. </w:t>
      </w:r>
      <w:r w:rsidRPr="00D13B67">
        <w:rPr>
          <w:i/>
          <w:iCs/>
        </w:rPr>
        <w:t>Education Sciences</w:t>
      </w:r>
      <w:r w:rsidRPr="00D13B67">
        <w:t xml:space="preserve">, </w:t>
      </w:r>
      <w:r w:rsidRPr="00D13B67">
        <w:rPr>
          <w:i/>
          <w:iCs/>
        </w:rPr>
        <w:t>10</w:t>
      </w:r>
      <w:r w:rsidRPr="00D13B67">
        <w:t xml:space="preserve">(9), 223. </w:t>
      </w:r>
      <w:hyperlink r:id="rId30" w:history="1">
        <w:r w:rsidRPr="00D13B67">
          <w:rPr>
            <w:rStyle w:val="Hyperlink"/>
          </w:rPr>
          <w:t>https://doi.org/10.3390/educsci10090223</w:t>
        </w:r>
      </w:hyperlink>
    </w:p>
    <w:p w14:paraId="741DE927" w14:textId="297B9115" w:rsidR="00AF55DB" w:rsidRPr="00D13B67" w:rsidRDefault="00AF55DB" w:rsidP="00305C0E">
      <w:pPr>
        <w:pStyle w:val="Reference"/>
      </w:pPr>
      <w:r w:rsidRPr="00D13B67">
        <w:t xml:space="preserve">Beck, D. (1995). Co-operative </w:t>
      </w:r>
      <w:r w:rsidR="0076239D" w:rsidRPr="00D13B67">
        <w:t>i</w:t>
      </w:r>
      <w:r w:rsidRPr="00D13B67">
        <w:t xml:space="preserve">nquiry. In J. Smith, R. Harre, &amp; L. V. </w:t>
      </w:r>
      <w:proofErr w:type="spellStart"/>
      <w:r w:rsidRPr="00D13B67">
        <w:t>Langenhove</w:t>
      </w:r>
      <w:proofErr w:type="spellEnd"/>
      <w:r w:rsidRPr="00D13B67">
        <w:t xml:space="preserve"> (Eds.), </w:t>
      </w:r>
      <w:r w:rsidRPr="00D13B67">
        <w:rPr>
          <w:i/>
          <w:iCs/>
        </w:rPr>
        <w:t>Rethinking Methods in Psychology</w:t>
      </w:r>
      <w:r w:rsidRPr="00D13B67">
        <w:t>. Sage.</w:t>
      </w:r>
    </w:p>
    <w:p w14:paraId="08352FFB" w14:textId="14CFB2AD" w:rsidR="008B5F8B" w:rsidRPr="00D13B67" w:rsidRDefault="008B5F8B" w:rsidP="00305C0E">
      <w:pPr>
        <w:pStyle w:val="Reference"/>
      </w:pPr>
      <w:r w:rsidRPr="00D13B67">
        <w:t xml:space="preserve">Beck Wells, M. (2025). Disability services in higher education: Statistical disparities and the potential role of AI in bridging institutional gaps. </w:t>
      </w:r>
      <w:r w:rsidRPr="00D13B67">
        <w:rPr>
          <w:i/>
          <w:iCs/>
        </w:rPr>
        <w:t>PLOS One</w:t>
      </w:r>
      <w:r w:rsidRPr="00D13B67">
        <w:t xml:space="preserve">, </w:t>
      </w:r>
      <w:r w:rsidRPr="00D13B67">
        <w:rPr>
          <w:i/>
          <w:iCs/>
        </w:rPr>
        <w:t>20</w:t>
      </w:r>
      <w:r w:rsidRPr="00D13B67">
        <w:t xml:space="preserve">(5), e0322728. </w:t>
      </w:r>
      <w:hyperlink r:id="rId31" w:history="1">
        <w:r w:rsidRPr="00D13B67">
          <w:rPr>
            <w:rStyle w:val="Hyperlink"/>
          </w:rPr>
          <w:t>https://doi.org/10.1371/journal.pone.0322728</w:t>
        </w:r>
      </w:hyperlink>
    </w:p>
    <w:p w14:paraId="6E9278A6" w14:textId="320910EA" w:rsidR="002D5E8D" w:rsidRPr="00D13B67" w:rsidRDefault="002D5E8D" w:rsidP="00305C0E">
      <w:pPr>
        <w:pStyle w:val="Reference"/>
      </w:pPr>
      <w:r w:rsidRPr="00D13B67">
        <w:t xml:space="preserve">Behling, K. (2017). Accessibility considerations for hybrid courses. </w:t>
      </w:r>
      <w:r w:rsidRPr="00D13B67">
        <w:rPr>
          <w:i/>
          <w:iCs/>
        </w:rPr>
        <w:t>New Directions for Teaching and Learning, 2017</w:t>
      </w:r>
      <w:r w:rsidRPr="00D13B67">
        <w:t xml:space="preserve">(149), 89–101. </w:t>
      </w:r>
      <w:hyperlink r:id="rId32" w:history="1">
        <w:r w:rsidRPr="00D13B67">
          <w:rPr>
            <w:rStyle w:val="Hyperlink"/>
          </w:rPr>
          <w:t>https://doi.org/10.1002/tl.20230</w:t>
        </w:r>
      </w:hyperlink>
    </w:p>
    <w:p w14:paraId="5D875E30" w14:textId="5A13A72A" w:rsidR="0062669E" w:rsidRPr="00D13B67" w:rsidRDefault="0062669E" w:rsidP="00305C0E">
      <w:pPr>
        <w:pStyle w:val="Reference"/>
      </w:pPr>
      <w:r w:rsidRPr="00D13B67">
        <w:t xml:space="preserve">Bereza, M. (2019). From </w:t>
      </w:r>
      <w:r w:rsidR="0076239D" w:rsidRPr="00D13B67">
        <w:t>classification</w:t>
      </w:r>
      <w:r w:rsidRPr="00D13B67">
        <w:t xml:space="preserve"> to </w:t>
      </w:r>
      <w:r w:rsidR="0076239D" w:rsidRPr="00D13B67">
        <w:t>culture</w:t>
      </w:r>
      <w:r w:rsidRPr="00D13B67">
        <w:t xml:space="preserve">: Learning </w:t>
      </w:r>
      <w:r w:rsidR="0076239D" w:rsidRPr="00D13B67">
        <w:t>disabilities</w:t>
      </w:r>
      <w:r w:rsidRPr="00D13B67">
        <w:t xml:space="preserve"> in </w:t>
      </w:r>
      <w:r w:rsidR="0076239D" w:rsidRPr="00D13B67">
        <w:t>higher education</w:t>
      </w:r>
      <w:r w:rsidRPr="00D13B67">
        <w:t xml:space="preserve">. In C. McMaster, B. Whitburn, &amp; M. Oliver (Eds.), </w:t>
      </w:r>
      <w:r w:rsidRPr="00D13B67">
        <w:rPr>
          <w:i/>
          <w:iCs/>
        </w:rPr>
        <w:t>Disability and the university: A disabled students’ manifesto</w:t>
      </w:r>
      <w:r w:rsidRPr="00D13B67">
        <w:t xml:space="preserve"> (pp. 187–194). Peter Lang Publishing, Inc.</w:t>
      </w:r>
    </w:p>
    <w:p w14:paraId="7A3A5307" w14:textId="248409D1" w:rsidR="00534846" w:rsidRPr="00D13B67" w:rsidRDefault="00CA6E16" w:rsidP="00305C0E">
      <w:pPr>
        <w:pStyle w:val="Reference"/>
      </w:pPr>
      <w:r w:rsidRPr="00D13B67">
        <w:lastRenderedPageBreak/>
        <w:t>Bogdan, R., &amp; Biklen, S. K. (1992). Qualitative research for education: An introduction to theories and methods (</w:t>
      </w:r>
      <w:r w:rsidR="007F43F9" w:rsidRPr="00D13B67">
        <w:t>2nd</w:t>
      </w:r>
      <w:r w:rsidR="00835AA9" w:rsidRPr="00D13B67">
        <w:t xml:space="preserve"> ed.</w:t>
      </w:r>
      <w:r w:rsidR="007F43F9" w:rsidRPr="00D13B67">
        <w:t>)</w:t>
      </w:r>
      <w:r w:rsidRPr="00D13B67">
        <w:t>. Allyn and Bacon.</w:t>
      </w:r>
    </w:p>
    <w:p w14:paraId="70E41E7B" w14:textId="77777777" w:rsidR="00995D80" w:rsidRPr="00D13B67" w:rsidRDefault="00995D80" w:rsidP="00305C0E">
      <w:pPr>
        <w:pStyle w:val="Reference"/>
      </w:pPr>
      <w:proofErr w:type="spellStart"/>
      <w:r w:rsidRPr="00D13B67">
        <w:t>Bountziouka</w:t>
      </w:r>
      <w:proofErr w:type="spellEnd"/>
      <w:r w:rsidRPr="00D13B67">
        <w:t>, V., Horvat-</w:t>
      </w:r>
      <w:proofErr w:type="spellStart"/>
      <w:r w:rsidRPr="00D13B67">
        <w:t>Gitsels</w:t>
      </w:r>
      <w:proofErr w:type="spellEnd"/>
      <w:r w:rsidRPr="00D13B67">
        <w:t xml:space="preserve">, L. A., Cortina-Borja, M., &amp; Rahi, J. S. (2023). Trends in the long-term impact of childhood visual impairment on health and social outcomes in the UK: A cross-cohort study across three decades of disability-related legislation and policy implementation. </w:t>
      </w:r>
      <w:r w:rsidRPr="00D13B67">
        <w:rPr>
          <w:i/>
          <w:iCs/>
        </w:rPr>
        <w:t>European Journal of Public Health</w:t>
      </w:r>
      <w:r w:rsidRPr="00D13B67">
        <w:t xml:space="preserve">, </w:t>
      </w:r>
      <w:r w:rsidRPr="00D13B67">
        <w:rPr>
          <w:i/>
          <w:iCs/>
        </w:rPr>
        <w:t>33</w:t>
      </w:r>
      <w:r w:rsidRPr="00D13B67">
        <w:t xml:space="preserve">(6), 1035–1042. </w:t>
      </w:r>
      <w:hyperlink r:id="rId33" w:history="1">
        <w:r w:rsidRPr="00D13B67">
          <w:rPr>
            <w:rStyle w:val="Hyperlink"/>
          </w:rPr>
          <w:t>https://doi.org/10.1093/eurpub/ckad162</w:t>
        </w:r>
      </w:hyperlink>
    </w:p>
    <w:p w14:paraId="7A724260" w14:textId="77777777" w:rsidR="00995D80" w:rsidRPr="00D13B67" w:rsidRDefault="00995D80" w:rsidP="00305C0E">
      <w:pPr>
        <w:pStyle w:val="Reference"/>
      </w:pPr>
      <w:r w:rsidRPr="00D13B67">
        <w:t xml:space="preserve">Brady, E., Zhong, Y., &amp; Bigham, J. P. (2015). Creating accessible PDFs for conference proceedings. </w:t>
      </w:r>
      <w:r w:rsidRPr="00D13B67">
        <w:rPr>
          <w:i/>
          <w:iCs/>
        </w:rPr>
        <w:t>Proceedings of the 12th International Web for All Conference</w:t>
      </w:r>
      <w:r w:rsidRPr="00D13B67">
        <w:t xml:space="preserve">, 1–4. </w:t>
      </w:r>
      <w:hyperlink r:id="rId34" w:history="1">
        <w:r w:rsidRPr="00D13B67">
          <w:rPr>
            <w:rStyle w:val="Hyperlink"/>
          </w:rPr>
          <w:t>https://doi.org/10.1145/2745555.2746665</w:t>
        </w:r>
      </w:hyperlink>
    </w:p>
    <w:p w14:paraId="0E8E72E2" w14:textId="2D8A2227" w:rsidR="0073289C" w:rsidRPr="00D13B67" w:rsidRDefault="0073289C" w:rsidP="00305C0E">
      <w:pPr>
        <w:pStyle w:val="Reference"/>
      </w:pPr>
      <w:r w:rsidRPr="00D13B67">
        <w:t xml:space="preserve">Brandt, S. (2011). From </w:t>
      </w:r>
      <w:r w:rsidR="0076239D" w:rsidRPr="00D13B67">
        <w:t>policy</w:t>
      </w:r>
      <w:r w:rsidRPr="00D13B67">
        <w:t xml:space="preserve"> to </w:t>
      </w:r>
      <w:r w:rsidR="0076239D" w:rsidRPr="00D13B67">
        <w:t>practice</w:t>
      </w:r>
      <w:r w:rsidRPr="00D13B67">
        <w:t xml:space="preserve"> in </w:t>
      </w:r>
      <w:r w:rsidR="0076239D" w:rsidRPr="00D13B67">
        <w:t>higher education</w:t>
      </w:r>
      <w:r w:rsidRPr="00D13B67">
        <w:t xml:space="preserve">: The </w:t>
      </w:r>
      <w:r w:rsidR="0076239D" w:rsidRPr="00D13B67">
        <w:t>experiences</w:t>
      </w:r>
      <w:r w:rsidRPr="00D13B67">
        <w:t xml:space="preserve"> of </w:t>
      </w:r>
      <w:r w:rsidR="0076239D" w:rsidRPr="00D13B67">
        <w:t>disabled students</w:t>
      </w:r>
      <w:r w:rsidRPr="00D13B67">
        <w:t xml:space="preserve"> in Norway. </w:t>
      </w:r>
      <w:r w:rsidRPr="00D13B67">
        <w:rPr>
          <w:i/>
          <w:iCs/>
        </w:rPr>
        <w:t>International Journal of Disability, Development and Education</w:t>
      </w:r>
      <w:r w:rsidRPr="00D13B67">
        <w:t xml:space="preserve">, </w:t>
      </w:r>
      <w:r w:rsidRPr="00D13B67">
        <w:rPr>
          <w:i/>
          <w:iCs/>
        </w:rPr>
        <w:t>58</w:t>
      </w:r>
      <w:r w:rsidRPr="00D13B67">
        <w:t xml:space="preserve">(2), 107–120. (EJ925363). </w:t>
      </w:r>
      <w:hyperlink r:id="rId35" w:history="1">
        <w:r w:rsidRPr="00D13B67">
          <w:rPr>
            <w:rStyle w:val="Hyperlink"/>
          </w:rPr>
          <w:t>https://doi.org/10.1080/1034912X.2011.570494</w:t>
        </w:r>
      </w:hyperlink>
    </w:p>
    <w:p w14:paraId="79F94097" w14:textId="77777777" w:rsidR="000B42EB" w:rsidRPr="00D13B67" w:rsidRDefault="000B42EB" w:rsidP="00305C0E">
      <w:pPr>
        <w:pStyle w:val="Reference"/>
      </w:pPr>
      <w:r w:rsidRPr="00D13B67">
        <w:t xml:space="preserve">Braun, V., &amp; Clarke, V. (2006). Using thematic analysis in psychology. </w:t>
      </w:r>
      <w:r w:rsidRPr="00D13B67">
        <w:rPr>
          <w:i/>
          <w:iCs/>
        </w:rPr>
        <w:t>Qualitative Research in Psychology</w:t>
      </w:r>
      <w:r w:rsidRPr="00D13B67">
        <w:t xml:space="preserve">, </w:t>
      </w:r>
      <w:r w:rsidRPr="00D13B67">
        <w:rPr>
          <w:i/>
          <w:iCs/>
        </w:rPr>
        <w:t>3</w:t>
      </w:r>
      <w:r w:rsidRPr="00D13B67">
        <w:t xml:space="preserve">(2), 77–101. </w:t>
      </w:r>
      <w:hyperlink r:id="rId36" w:history="1">
        <w:r w:rsidRPr="00D13B67">
          <w:rPr>
            <w:rStyle w:val="Hyperlink"/>
          </w:rPr>
          <w:t>https://doi.org/10.1191/1478088706qp063oa</w:t>
        </w:r>
      </w:hyperlink>
    </w:p>
    <w:p w14:paraId="2C33251B" w14:textId="5076AA0C" w:rsidR="00574E51" w:rsidRPr="00D13B67" w:rsidRDefault="000B42EB" w:rsidP="00305C0E">
      <w:pPr>
        <w:pStyle w:val="Reference"/>
      </w:pPr>
      <w:r w:rsidRPr="00D13B67">
        <w:t xml:space="preserve">Braun, V., &amp; Clarke, V. (2012). Thematic </w:t>
      </w:r>
      <w:r w:rsidR="0076239D" w:rsidRPr="00D13B67">
        <w:t>a</w:t>
      </w:r>
      <w:r w:rsidRPr="00D13B67">
        <w:t xml:space="preserve">nalysis. In H. M. Cooper, </w:t>
      </w:r>
      <w:r w:rsidRPr="00D13B67">
        <w:rPr>
          <w:i/>
          <w:iCs/>
        </w:rPr>
        <w:t>APA Handbook of Research Methods in Psychology</w:t>
      </w:r>
      <w:r w:rsidRPr="00D13B67">
        <w:t xml:space="preserve"> (pp. 57–71). American Psychological Association.</w:t>
      </w:r>
    </w:p>
    <w:p w14:paraId="2C5E709F" w14:textId="112F9322" w:rsidR="00597478" w:rsidRPr="00D13B67" w:rsidRDefault="00995D80" w:rsidP="00305C0E">
      <w:pPr>
        <w:pStyle w:val="Reference"/>
      </w:pPr>
      <w:r w:rsidRPr="00D13B67">
        <w:t xml:space="preserve">Briggs, M., Archibald, A., Heap, T., Thompson, R. ‘Rudi,’ &amp; Liss, A. ‘Ellie.’ (2024). Identifying one university’s prevailing online course accessibility issues. </w:t>
      </w:r>
      <w:r w:rsidRPr="00D13B67">
        <w:rPr>
          <w:i/>
          <w:iCs/>
        </w:rPr>
        <w:t>Educational Technology &amp; Society</w:t>
      </w:r>
      <w:r w:rsidRPr="00D13B67">
        <w:t xml:space="preserve">, </w:t>
      </w:r>
      <w:r w:rsidRPr="00D13B67">
        <w:rPr>
          <w:i/>
          <w:iCs/>
        </w:rPr>
        <w:t>27</w:t>
      </w:r>
      <w:r w:rsidRPr="00D13B67">
        <w:t>(4), 319–338.</w:t>
      </w:r>
      <w:r w:rsidR="00132D71" w:rsidRPr="00D13B67">
        <w:t xml:space="preserve"> </w:t>
      </w:r>
      <w:hyperlink r:id="rId37" w:history="1">
        <w:r w:rsidR="00132D71" w:rsidRPr="00D13B67">
          <w:rPr>
            <w:rStyle w:val="Hyperlink"/>
          </w:rPr>
          <w:t>https://www.jstor.org/stable/48791558</w:t>
        </w:r>
      </w:hyperlink>
    </w:p>
    <w:p w14:paraId="65F0FEF3" w14:textId="68157EA3" w:rsidR="00610825" w:rsidRPr="00D13B67" w:rsidRDefault="00610825" w:rsidP="00305C0E">
      <w:pPr>
        <w:pStyle w:val="Reference"/>
      </w:pPr>
      <w:r w:rsidRPr="00D13B67">
        <w:t xml:space="preserve">Brownell, S. E., &amp; Tanner, K. D. (2012). Barriers to Faculty Pedagogical Change: Lack of Training, Time, Incentives, and…Tensions with Professional Identity? </w:t>
      </w:r>
      <w:r w:rsidRPr="00D13B67">
        <w:rPr>
          <w:i/>
          <w:iCs/>
        </w:rPr>
        <w:t>CBE—Life Sciences Education, 11</w:t>
      </w:r>
      <w:r w:rsidRPr="00D13B67">
        <w:t>(4), 339–346. https://doi.org/10.1187/cbe.12-09-0163</w:t>
      </w:r>
    </w:p>
    <w:p w14:paraId="3C593EF0" w14:textId="478ACB0C" w:rsidR="0062669E" w:rsidRPr="00D13B67" w:rsidRDefault="0062669E" w:rsidP="00305C0E">
      <w:pPr>
        <w:pStyle w:val="Reference"/>
      </w:pPr>
      <w:r w:rsidRPr="00D13B67">
        <w:t xml:space="preserve">Bruce, C., &amp; Aylward, M. L. (2021). Accommodating </w:t>
      </w:r>
      <w:r w:rsidR="0076239D" w:rsidRPr="00D13B67">
        <w:t xml:space="preserve">disability </w:t>
      </w:r>
      <w:r w:rsidRPr="00D13B67">
        <w:t xml:space="preserve">at </w:t>
      </w:r>
      <w:r w:rsidR="0076239D" w:rsidRPr="00D13B67">
        <w:t>university</w:t>
      </w:r>
      <w:r w:rsidRPr="00D13B67">
        <w:t xml:space="preserve">. </w:t>
      </w:r>
      <w:r w:rsidRPr="00D13B67">
        <w:rPr>
          <w:i/>
          <w:iCs/>
        </w:rPr>
        <w:t>Disability Studies Quarterly</w:t>
      </w:r>
      <w:r w:rsidRPr="00D13B67">
        <w:t xml:space="preserve">, </w:t>
      </w:r>
      <w:r w:rsidRPr="00D13B67">
        <w:rPr>
          <w:i/>
          <w:iCs/>
        </w:rPr>
        <w:t>41</w:t>
      </w:r>
      <w:r w:rsidRPr="00D13B67">
        <w:t xml:space="preserve">(2). </w:t>
      </w:r>
      <w:hyperlink r:id="rId38" w:history="1">
        <w:r w:rsidRPr="00D13B67">
          <w:rPr>
            <w:rStyle w:val="Hyperlink"/>
          </w:rPr>
          <w:t>https://doi.org/10.18061/dsq.v41i2.6973</w:t>
        </w:r>
      </w:hyperlink>
    </w:p>
    <w:p w14:paraId="12DE1285" w14:textId="3D9C5D89" w:rsidR="000B5E35" w:rsidRPr="00D13B67" w:rsidRDefault="000B5E35" w:rsidP="00305C0E">
      <w:pPr>
        <w:pStyle w:val="Reference"/>
      </w:pPr>
      <w:r w:rsidRPr="00D13B67">
        <w:t xml:space="preserve">Button, P., Armour, P., &amp; Hollands, S. (2016). </w:t>
      </w:r>
      <w:r w:rsidR="0076239D" w:rsidRPr="00D13B67">
        <w:t>A comprehensive analysis of the effects of us disability discrimination laws on the employment of the disabled population</w:t>
      </w:r>
      <w:r w:rsidRPr="00D13B67">
        <w:t xml:space="preserve">. </w:t>
      </w:r>
      <w:r w:rsidRPr="00D13B67">
        <w:rPr>
          <w:i/>
          <w:iCs/>
        </w:rPr>
        <w:t>NBER Working Paper No. NB16-07</w:t>
      </w:r>
      <w:r w:rsidRPr="00D13B67">
        <w:t>.</w:t>
      </w:r>
      <w:r w:rsidR="003F7E18" w:rsidRPr="00D13B67">
        <w:t xml:space="preserve"> </w:t>
      </w:r>
      <w:r w:rsidR="003F7E18" w:rsidRPr="00D13B67">
        <w:rPr>
          <w:i/>
          <w:iCs/>
        </w:rPr>
        <w:t>National Bureau of Economic Research.</w:t>
      </w:r>
      <w:r w:rsidR="00095114" w:rsidRPr="00D13B67">
        <w:rPr>
          <w:i/>
          <w:iCs/>
        </w:rPr>
        <w:t xml:space="preserve"> </w:t>
      </w:r>
      <w:hyperlink r:id="rId39" w:history="1">
        <w:r w:rsidR="00095114" w:rsidRPr="00D13B67">
          <w:rPr>
            <w:rStyle w:val="Hyperlink"/>
          </w:rPr>
          <w:t>https://www.nber.org/programs-projects/projects-and-centers/retirement-and-disability-research-center/center-papers/drc-nb16-07</w:t>
        </w:r>
      </w:hyperlink>
    </w:p>
    <w:p w14:paraId="798CC300" w14:textId="4908123E" w:rsidR="0026594D" w:rsidRPr="00D13B67" w:rsidRDefault="0026594D" w:rsidP="00305C0E">
      <w:pPr>
        <w:pStyle w:val="Reference"/>
      </w:pPr>
      <w:r w:rsidRPr="00D13B67">
        <w:t xml:space="preserve">Canadian Human Rights Commission. (2017). </w:t>
      </w:r>
      <w:r w:rsidRPr="00D13B67">
        <w:rPr>
          <w:i/>
        </w:rPr>
        <w:t>Left out: Challenges Faced by Persons with Disabilities in Canada’s Schools</w:t>
      </w:r>
      <w:r w:rsidRPr="00D13B67">
        <w:t>. Canadian Human Rights Commission.</w:t>
      </w:r>
      <w:r w:rsidR="001371E3" w:rsidRPr="00D13B67">
        <w:t xml:space="preserve"> </w:t>
      </w:r>
      <w:hyperlink r:id="rId40" w:history="1">
        <w:r w:rsidR="001371E3" w:rsidRPr="00D13B67">
          <w:rPr>
            <w:rStyle w:val="Hyperlink"/>
          </w:rPr>
          <w:t>https://publications.gc.ca/site/eng/9.831250/publication.html</w:t>
        </w:r>
      </w:hyperlink>
    </w:p>
    <w:p w14:paraId="2821CBD1" w14:textId="3D6ADF1C" w:rsidR="00D93FBE" w:rsidRPr="00D13B67" w:rsidRDefault="00D93FBE" w:rsidP="00305C0E">
      <w:pPr>
        <w:pStyle w:val="Reference"/>
      </w:pPr>
      <w:r w:rsidRPr="00D13B67">
        <w:t>Canadian University Survey Consortium. (2010). CUSC 2010 First-year university student survey master report.</w:t>
      </w:r>
      <w:r w:rsidR="00F7390B" w:rsidRPr="00D13B67">
        <w:t xml:space="preserve"> </w:t>
      </w:r>
      <w:hyperlink r:id="rId41" w:history="1">
        <w:r w:rsidR="00F7390B" w:rsidRPr="00D13B67">
          <w:rPr>
            <w:rStyle w:val="Hyperlink"/>
          </w:rPr>
          <w:t>https://cusc-ccreu.ca/wordpress/?lang=en&amp;download=151&amp;tmstv=1774849879</w:t>
        </w:r>
      </w:hyperlink>
    </w:p>
    <w:p w14:paraId="3394D6AF" w14:textId="663AEB05" w:rsidR="00882F47" w:rsidRPr="00D13B67" w:rsidRDefault="00882F47" w:rsidP="00305C0E">
      <w:pPr>
        <w:pStyle w:val="Reference"/>
      </w:pPr>
      <w:r w:rsidRPr="00D13B67">
        <w:t>Canadian University Survey Consortium. (2018). 2018 Graduating Student Survey Master Report.</w:t>
      </w:r>
      <w:r w:rsidR="00F7390B" w:rsidRPr="00D13B67">
        <w:t xml:space="preserve"> </w:t>
      </w:r>
      <w:hyperlink r:id="rId42" w:history="1">
        <w:r w:rsidR="00F7390B" w:rsidRPr="00D13B67">
          <w:rPr>
            <w:rStyle w:val="Hyperlink"/>
          </w:rPr>
          <w:t>https://cusc-ccreu.ca/wordpress/?lang=en&amp;download=376&amp;tmstv=1774849878</w:t>
        </w:r>
      </w:hyperlink>
    </w:p>
    <w:p w14:paraId="6FFCD588" w14:textId="207B9340" w:rsidR="00433285" w:rsidRPr="00D13B67" w:rsidRDefault="00433285" w:rsidP="00305C0E">
      <w:pPr>
        <w:pStyle w:val="Reference"/>
      </w:pPr>
      <w:r w:rsidRPr="00D13B67">
        <w:t xml:space="preserve">Canadian University Survey Consortium. (2022). 2022 First-Year Students Survey Master Report. </w:t>
      </w:r>
      <w:r w:rsidR="002E6DA8" w:rsidRPr="00D13B67">
        <w:br/>
      </w:r>
      <w:hyperlink r:id="rId43" w:history="1">
        <w:r w:rsidR="002E6DA8" w:rsidRPr="00D13B67">
          <w:rPr>
            <w:rStyle w:val="Hyperlink"/>
          </w:rPr>
          <w:t>https://cusc-ccreu.ca/wordpress/?lang=en&amp;download=1084&amp;tmstv=1755301696</w:t>
        </w:r>
      </w:hyperlink>
    </w:p>
    <w:p w14:paraId="5198BA11" w14:textId="77777777" w:rsidR="00D93FBE" w:rsidRPr="00D13B67" w:rsidRDefault="00CB5942" w:rsidP="00305C0E">
      <w:pPr>
        <w:pStyle w:val="Reference"/>
      </w:pPr>
      <w:r w:rsidRPr="00D13B67">
        <w:t xml:space="preserve">Canadian University Survey Consortium. (2024). </w:t>
      </w:r>
      <w:r w:rsidRPr="00D13B67">
        <w:rPr>
          <w:i/>
          <w:iCs/>
        </w:rPr>
        <w:t>2024 Graduating Student Survey Master Report</w:t>
      </w:r>
      <w:r w:rsidRPr="00D13B67">
        <w:t xml:space="preserve">. </w:t>
      </w:r>
      <w:r w:rsidRPr="00D13B67">
        <w:br/>
      </w:r>
      <w:hyperlink r:id="rId44" w:history="1">
        <w:r w:rsidR="00B406BA" w:rsidRPr="00D13B67">
          <w:rPr>
            <w:rStyle w:val="Hyperlink"/>
          </w:rPr>
          <w:t>https://cusc-ccreu.ca/wordpress/?lang=en&amp;download=3708&amp;tmstv=1755301750</w:t>
        </w:r>
      </w:hyperlink>
    </w:p>
    <w:p w14:paraId="1B6A0236" w14:textId="6D7A8ED4" w:rsidR="000C52C5" w:rsidRPr="00D13B67" w:rsidRDefault="00F25C14" w:rsidP="00305C0E">
      <w:pPr>
        <w:pStyle w:val="Reference"/>
      </w:pPr>
      <w:r w:rsidRPr="00D13B67">
        <w:t xml:space="preserve">Cannon, S. O., &amp; </w:t>
      </w:r>
      <w:proofErr w:type="spellStart"/>
      <w:r w:rsidRPr="00D13B67">
        <w:t>Edber</w:t>
      </w:r>
      <w:proofErr w:type="spellEnd"/>
      <w:r w:rsidRPr="00D13B67">
        <w:t xml:space="preserve">, H. (2025). Thematic </w:t>
      </w:r>
      <w:r w:rsidR="0076239D" w:rsidRPr="00D13B67">
        <w:t>resonance: listening</w:t>
      </w:r>
      <w:r w:rsidRPr="00D13B67">
        <w:t xml:space="preserve"> as an </w:t>
      </w:r>
      <w:r w:rsidR="0076239D" w:rsidRPr="00D13B67">
        <w:t>alternative</w:t>
      </w:r>
      <w:r w:rsidRPr="00D13B67">
        <w:t xml:space="preserve"> to </w:t>
      </w:r>
      <w:r w:rsidR="0076239D" w:rsidRPr="00D13B67">
        <w:t>data dissection</w:t>
      </w:r>
      <w:r w:rsidRPr="00D13B67">
        <w:t xml:space="preserve">. In J. R. Wolgemuth, K. W. Guyotte, &amp; S. A. Shelton, </w:t>
      </w:r>
      <w:r w:rsidRPr="00D13B67">
        <w:rPr>
          <w:i/>
          <w:iCs/>
        </w:rPr>
        <w:t>Expanding approaches to thematic analysis: Creative engagements with qualitative data</w:t>
      </w:r>
      <w:r w:rsidRPr="00D13B67">
        <w:t>. Routledge. Langara Library Catalogue (</w:t>
      </w:r>
      <w:proofErr w:type="gramStart"/>
      <w:r w:rsidRPr="00D13B67">
        <w:t>lang.b</w:t>
      </w:r>
      <w:proofErr w:type="gramEnd"/>
      <w:r w:rsidRPr="00D13B67">
        <w:t xml:space="preserve">2352356). </w:t>
      </w:r>
      <w:hyperlink r:id="rId45" w:history="1">
        <w:r w:rsidRPr="00D13B67">
          <w:rPr>
            <w:rStyle w:val="Hyperlink"/>
          </w:rPr>
          <w:t>https://learning.oreilly.com/library/view/expanding-approaches-to/9781040088777/</w:t>
        </w:r>
      </w:hyperlink>
    </w:p>
    <w:p w14:paraId="1AF7649E" w14:textId="6D028B3F" w:rsidR="00176A63" w:rsidRPr="00D13B67" w:rsidRDefault="00176A63" w:rsidP="00305C0E">
      <w:pPr>
        <w:pStyle w:val="Reference"/>
      </w:pPr>
      <w:r w:rsidRPr="00D13B67">
        <w:t>Carr, W., &amp; Kemmis, S. (1986). Becoming critical: Education, knowledge, and action research. Falmer Press.</w:t>
      </w:r>
    </w:p>
    <w:p w14:paraId="1C5599C6" w14:textId="55AF7024" w:rsidR="009F6018" w:rsidRPr="00D13B67" w:rsidRDefault="009F6018" w:rsidP="00305C0E">
      <w:pPr>
        <w:pStyle w:val="Reference"/>
      </w:pPr>
      <w:r w:rsidRPr="00D13B67">
        <w:t xml:space="preserve">Carroll, P., Witten, K., Calder-Dawe, O., Smith, M., Kearns, R., </w:t>
      </w:r>
      <w:proofErr w:type="spellStart"/>
      <w:r w:rsidRPr="00D13B67">
        <w:t>Asiasiga</w:t>
      </w:r>
      <w:proofErr w:type="spellEnd"/>
      <w:r w:rsidRPr="00D13B67">
        <w:t xml:space="preserve">, L., Lin, J., Kayes, N., &amp; </w:t>
      </w:r>
      <w:proofErr w:type="spellStart"/>
      <w:r w:rsidRPr="00D13B67">
        <w:t>Mavoa</w:t>
      </w:r>
      <w:proofErr w:type="spellEnd"/>
      <w:r w:rsidRPr="00D13B67">
        <w:t xml:space="preserve">, S. (2018). Enabling participation for disabled young people: Study protocol. </w:t>
      </w:r>
      <w:r w:rsidRPr="00D13B67">
        <w:rPr>
          <w:i/>
          <w:iCs/>
        </w:rPr>
        <w:t>BMC Public Health</w:t>
      </w:r>
      <w:r w:rsidRPr="00D13B67">
        <w:t xml:space="preserve">, </w:t>
      </w:r>
      <w:r w:rsidRPr="00D13B67">
        <w:rPr>
          <w:i/>
          <w:iCs/>
        </w:rPr>
        <w:t>18</w:t>
      </w:r>
      <w:r w:rsidRPr="00D13B67">
        <w:t xml:space="preserve">(1), 712. </w:t>
      </w:r>
      <w:hyperlink r:id="rId46" w:history="1">
        <w:r w:rsidRPr="00D13B67">
          <w:rPr>
            <w:rStyle w:val="Hyperlink"/>
          </w:rPr>
          <w:t>https://doi.org/10.1186/s12889-018-5652-x</w:t>
        </w:r>
      </w:hyperlink>
    </w:p>
    <w:p w14:paraId="71A52F6C" w14:textId="50C39438" w:rsidR="00550ED5" w:rsidRPr="00D13B67" w:rsidRDefault="00550ED5" w:rsidP="00305C0E">
      <w:pPr>
        <w:pStyle w:val="Reference"/>
      </w:pPr>
      <w:r w:rsidRPr="00D13B67">
        <w:rPr>
          <w:rStyle w:val="normaltextrun"/>
          <w:rFonts w:ascii="Aptos" w:hAnsi="Aptos"/>
          <w:color w:val="000000"/>
          <w:shd w:val="clear" w:color="auto" w:fill="FFFFFF"/>
        </w:rPr>
        <w:t>Case, D. E., &amp; Davidson, R. C. (2011). Accessible online learning.</w:t>
      </w:r>
      <w:r w:rsidRPr="00D13B67">
        <w:rPr>
          <w:rStyle w:val="normaltextrun"/>
          <w:rFonts w:ascii="Aptos" w:hAnsi="Aptos"/>
          <w:i/>
          <w:iCs/>
          <w:color w:val="000000"/>
          <w:shd w:val="clear" w:color="auto" w:fill="FFFFFF"/>
        </w:rPr>
        <w:t> New Directions for Student Services, 2011</w:t>
      </w:r>
      <w:r w:rsidRPr="00D13B67">
        <w:rPr>
          <w:rStyle w:val="normaltextrun"/>
          <w:rFonts w:ascii="Aptos" w:hAnsi="Aptos"/>
          <w:color w:val="000000"/>
          <w:shd w:val="clear" w:color="auto" w:fill="FFFFFF"/>
        </w:rPr>
        <w:t>(134), 47–58. </w:t>
      </w:r>
      <w:hyperlink r:id="rId47" w:tgtFrame="_blank" w:history="1">
        <w:r w:rsidRPr="00D13B67">
          <w:rPr>
            <w:rStyle w:val="normaltextrun"/>
            <w:rFonts w:ascii="Aptos" w:hAnsi="Aptos" w:cs="Segoe UI"/>
            <w:color w:val="467886"/>
            <w:u w:val="single"/>
            <w:shd w:val="clear" w:color="auto" w:fill="FFFFFF"/>
          </w:rPr>
          <w:t>https://doi.org/10.1002/ss.394</w:t>
        </w:r>
      </w:hyperlink>
      <w:r w:rsidRPr="00D13B67">
        <w:rPr>
          <w:rStyle w:val="eop"/>
          <w:rFonts w:ascii="Aptos" w:hAnsi="Aptos"/>
          <w:color w:val="000000"/>
          <w:shd w:val="clear" w:color="auto" w:fill="FFFFFF"/>
        </w:rPr>
        <w:t> </w:t>
      </w:r>
    </w:p>
    <w:p w14:paraId="44E485ED" w14:textId="24455E72" w:rsidR="00C0020C" w:rsidRPr="00D13B67" w:rsidRDefault="006F45C8" w:rsidP="00305C0E">
      <w:pPr>
        <w:pStyle w:val="Reference"/>
      </w:pPr>
      <w:r w:rsidRPr="00D13B67">
        <w:lastRenderedPageBreak/>
        <w:t xml:space="preserve">Cassim, J., Clarkson, J., Dong, H., &amp; Coleman, R. (2007). </w:t>
      </w:r>
      <w:r w:rsidR="0076239D" w:rsidRPr="00D13B67">
        <w:t>Why inclusive design</w:t>
      </w:r>
      <w:r w:rsidRPr="00D13B67">
        <w:t xml:space="preserve">? In R. Coleman, J. Clarkson, &amp; J. Cassim, </w:t>
      </w:r>
      <w:r w:rsidRPr="00D13B67">
        <w:rPr>
          <w:i/>
          <w:iCs/>
        </w:rPr>
        <w:t>Design for Inclusivity: A Practical Guide to Accessible, Innovative and User-Centred Design</w:t>
      </w:r>
      <w:r w:rsidRPr="00D13B67">
        <w:t xml:space="preserve">. Taylor &amp; Francis Group. </w:t>
      </w:r>
    </w:p>
    <w:p w14:paraId="6A4E2903" w14:textId="77777777" w:rsidR="0093099F" w:rsidRPr="00D13B67" w:rsidRDefault="0093099F" w:rsidP="00305C0E">
      <w:pPr>
        <w:pStyle w:val="Reference"/>
      </w:pPr>
      <w:r w:rsidRPr="00D13B67">
        <w:t xml:space="preserve">CEN, CENELEC, &amp; ETSI. (2015). </w:t>
      </w:r>
      <w:r w:rsidRPr="00D13B67">
        <w:rPr>
          <w:i/>
          <w:iCs/>
        </w:rPr>
        <w:t>EN 301 549</w:t>
      </w:r>
      <w:r w:rsidRPr="00D13B67">
        <w:t xml:space="preserve">. </w:t>
      </w:r>
      <w:hyperlink r:id="rId48" w:history="1">
        <w:r w:rsidRPr="00D13B67">
          <w:rPr>
            <w:rStyle w:val="Hyperlink"/>
          </w:rPr>
          <w:t>https://www.etsi.org/deliver/etsi_en/301500_301599/301549/01.01.02_60/en_301549v010102p.pdf</w:t>
        </w:r>
      </w:hyperlink>
    </w:p>
    <w:p w14:paraId="453DAE22" w14:textId="5B3B55F1" w:rsidR="0093099F" w:rsidRPr="00D13B67" w:rsidRDefault="00F66571" w:rsidP="00305C0E">
      <w:pPr>
        <w:pStyle w:val="Reference"/>
      </w:pPr>
      <w:proofErr w:type="spellStart"/>
      <w:r w:rsidRPr="00D13B67">
        <w:t>Cerovac</w:t>
      </w:r>
      <w:proofErr w:type="spellEnd"/>
      <w:r w:rsidRPr="00D13B67">
        <w:t xml:space="preserve">, A. B. (2024, May 4). WCAG after quarter of a century – we still need more awareness. </w:t>
      </w:r>
      <w:r w:rsidRPr="00D13B67">
        <w:rPr>
          <w:i/>
        </w:rPr>
        <w:t>Bogdan on Digital Accessibility (A11y).</w:t>
      </w:r>
      <w:r w:rsidRPr="00D13B67">
        <w:t xml:space="preserve"> </w:t>
      </w:r>
      <w:hyperlink r:id="rId49" w:history="1">
        <w:r w:rsidRPr="00D13B67">
          <w:rPr>
            <w:rStyle w:val="Hyperlink"/>
          </w:rPr>
          <w:t>https://cerovac.com/a11y/2024/05/wcag-after-quarter-of-a-century-we-still-need-more-awareness/</w:t>
        </w:r>
      </w:hyperlink>
    </w:p>
    <w:p w14:paraId="66B6CAC7" w14:textId="7037BDC8" w:rsidR="00816B41" w:rsidRPr="00D13B67" w:rsidRDefault="00816B41" w:rsidP="00305C0E">
      <w:pPr>
        <w:pStyle w:val="Reference"/>
      </w:pPr>
      <w:r w:rsidRPr="00D13B67">
        <w:t xml:space="preserve">Charlton, J. (1998). </w:t>
      </w:r>
      <w:r w:rsidRPr="00D13B67">
        <w:rPr>
          <w:i/>
          <w:iCs/>
        </w:rPr>
        <w:t xml:space="preserve">Nothing </w:t>
      </w:r>
      <w:r w:rsidR="00C2233A" w:rsidRPr="00D13B67">
        <w:rPr>
          <w:i/>
          <w:iCs/>
        </w:rPr>
        <w:t>about us without us: disability oppression</w:t>
      </w:r>
      <w:r w:rsidRPr="00D13B67">
        <w:rPr>
          <w:i/>
          <w:iCs/>
        </w:rPr>
        <w:t xml:space="preserve"> and </w:t>
      </w:r>
      <w:r w:rsidR="00C2233A" w:rsidRPr="00D13B67">
        <w:rPr>
          <w:i/>
          <w:iCs/>
        </w:rPr>
        <w:t>empowerment</w:t>
      </w:r>
      <w:r w:rsidRPr="00D13B67">
        <w:t xml:space="preserve">. University of California Press. </w:t>
      </w:r>
      <w:hyperlink r:id="rId50" w:history="1">
        <w:r w:rsidRPr="00D13B67">
          <w:rPr>
            <w:rStyle w:val="Hyperlink"/>
          </w:rPr>
          <w:t>https://doi.org/10.1525/california/9780520207950.001.0001</w:t>
        </w:r>
      </w:hyperlink>
    </w:p>
    <w:p w14:paraId="4BCCFC46" w14:textId="3A23D3FC" w:rsidR="00354949" w:rsidRPr="00D13B67" w:rsidRDefault="00354949" w:rsidP="00305C0E">
      <w:pPr>
        <w:pStyle w:val="Reference"/>
      </w:pPr>
      <w:r w:rsidRPr="00D13B67">
        <w:t xml:space="preserve">Chee, M., Davidian, Z., &amp; Weaver, K. D. (2022). More to </w:t>
      </w:r>
      <w:r w:rsidR="00C2233A" w:rsidRPr="00D13B67">
        <w:t>do</w:t>
      </w:r>
      <w:r w:rsidRPr="00D13B67">
        <w:t xml:space="preserve"> than </w:t>
      </w:r>
      <w:r w:rsidR="00C2233A" w:rsidRPr="00D13B67">
        <w:t xml:space="preserve">can ever be </w:t>
      </w:r>
      <w:proofErr w:type="gramStart"/>
      <w:r w:rsidR="00C2233A" w:rsidRPr="00D13B67">
        <w:t>done:</w:t>
      </w:r>
      <w:proofErr w:type="gramEnd"/>
      <w:r w:rsidR="00C2233A" w:rsidRPr="00D13B67">
        <w:t xml:space="preserve"> reconciling library online learning objects</w:t>
      </w:r>
      <w:r w:rsidRPr="00D13B67">
        <w:t xml:space="preserve"> with </w:t>
      </w:r>
      <w:proofErr w:type="spellStart"/>
      <w:r w:rsidR="00C2233A" w:rsidRPr="00D13B67">
        <w:t>wcag</w:t>
      </w:r>
      <w:proofErr w:type="spellEnd"/>
      <w:r w:rsidRPr="00D13B67">
        <w:t xml:space="preserve"> 2.1 </w:t>
      </w:r>
      <w:r w:rsidR="00C2233A" w:rsidRPr="00D13B67">
        <w:t>standards</w:t>
      </w:r>
      <w:r w:rsidRPr="00D13B67">
        <w:t xml:space="preserve"> for </w:t>
      </w:r>
      <w:r w:rsidR="00C2233A" w:rsidRPr="00D13B67">
        <w:t>accessibility</w:t>
      </w:r>
      <w:r w:rsidRPr="00D13B67">
        <w:t xml:space="preserve">. </w:t>
      </w:r>
      <w:r w:rsidRPr="00D13B67">
        <w:rPr>
          <w:i/>
          <w:iCs/>
        </w:rPr>
        <w:t>Journal of Web Librarianship</w:t>
      </w:r>
      <w:r w:rsidRPr="00D13B67">
        <w:t xml:space="preserve">, </w:t>
      </w:r>
      <w:r w:rsidRPr="00D13B67">
        <w:rPr>
          <w:i/>
          <w:iCs/>
        </w:rPr>
        <w:t>16</w:t>
      </w:r>
      <w:r w:rsidRPr="00D13B67">
        <w:t xml:space="preserve">(2), 87–119. (157382892). </w:t>
      </w:r>
      <w:hyperlink r:id="rId51" w:history="1">
        <w:r w:rsidRPr="00D13B67">
          <w:rPr>
            <w:rStyle w:val="Hyperlink"/>
          </w:rPr>
          <w:t>https://doi.org/10.1080/19322909.2022.2062521</w:t>
        </w:r>
      </w:hyperlink>
    </w:p>
    <w:p w14:paraId="0997AC14" w14:textId="315983EF" w:rsidR="00C8098E" w:rsidRPr="00D13B67" w:rsidRDefault="00C8098E" w:rsidP="00305C0E">
      <w:pPr>
        <w:pStyle w:val="Reference"/>
      </w:pPr>
      <w:r w:rsidRPr="00D13B67">
        <w:t xml:space="preserve">Chinn, D., &amp; Pelletier, C. (2020). Deconstructing the </w:t>
      </w:r>
      <w:r w:rsidR="00C2233A" w:rsidRPr="00D13B67">
        <w:t>co-production ideal: dilemmas</w:t>
      </w:r>
      <w:r w:rsidRPr="00D13B67">
        <w:t xml:space="preserve"> of </w:t>
      </w:r>
      <w:r w:rsidR="00C2233A" w:rsidRPr="00D13B67">
        <w:t>knowledge</w:t>
      </w:r>
      <w:r w:rsidRPr="00D13B67">
        <w:t xml:space="preserve"> and </w:t>
      </w:r>
      <w:r w:rsidR="00C2233A" w:rsidRPr="00D13B67">
        <w:t>representation</w:t>
      </w:r>
      <w:r w:rsidRPr="00D13B67">
        <w:t xml:space="preserve"> in a </w:t>
      </w:r>
      <w:r w:rsidR="00C2233A" w:rsidRPr="00D13B67">
        <w:t>co-design project</w:t>
      </w:r>
      <w:r w:rsidRPr="00D13B67">
        <w:t xml:space="preserve"> with </w:t>
      </w:r>
      <w:r w:rsidR="00C2233A" w:rsidRPr="00D13B67">
        <w:t>people</w:t>
      </w:r>
      <w:r w:rsidRPr="00D13B67">
        <w:t xml:space="preserve"> with </w:t>
      </w:r>
      <w:r w:rsidR="00C2233A" w:rsidRPr="00D13B67">
        <w:t>intellectual disabilities</w:t>
      </w:r>
      <w:r w:rsidRPr="00D13B67">
        <w:t xml:space="preserve">. </w:t>
      </w:r>
      <w:r w:rsidRPr="00D13B67">
        <w:rPr>
          <w:i/>
          <w:iCs/>
        </w:rPr>
        <w:t>Journal of Intellectual &amp; Developmental Disability</w:t>
      </w:r>
      <w:r w:rsidRPr="00D13B67">
        <w:t xml:space="preserve">, </w:t>
      </w:r>
      <w:r w:rsidRPr="00D13B67">
        <w:rPr>
          <w:i/>
          <w:iCs/>
        </w:rPr>
        <w:t>45</w:t>
      </w:r>
      <w:r w:rsidRPr="00D13B67">
        <w:t xml:space="preserve">(4), 326–336. (EJ1279123). </w:t>
      </w:r>
      <w:hyperlink r:id="rId52" w:history="1">
        <w:r w:rsidRPr="00D13B67">
          <w:rPr>
            <w:rStyle w:val="Hyperlink"/>
          </w:rPr>
          <w:t>https://doi.org/10.3109/13668250.2020.1795820</w:t>
        </w:r>
      </w:hyperlink>
    </w:p>
    <w:p w14:paraId="43C246B7" w14:textId="38165AE8" w:rsidR="0038418D" w:rsidRPr="00D13B67" w:rsidRDefault="0038418D" w:rsidP="00305C0E">
      <w:pPr>
        <w:pStyle w:val="Reference"/>
      </w:pPr>
      <w:r w:rsidRPr="00D13B67">
        <w:t xml:space="preserve">Clare, E. (2017). </w:t>
      </w:r>
      <w:r w:rsidRPr="00D13B67">
        <w:rPr>
          <w:i/>
          <w:iCs/>
        </w:rPr>
        <w:t>Brilliant imperfection: Grappling with cure</w:t>
      </w:r>
      <w:r w:rsidRPr="00D13B67">
        <w:t xml:space="preserve">. Duke University Press. </w:t>
      </w:r>
      <w:hyperlink r:id="rId53" w:history="1">
        <w:r w:rsidRPr="00D13B67">
          <w:rPr>
            <w:rStyle w:val="Hyperlink"/>
          </w:rPr>
          <w:t>https://doi.org/10.1515/9780822373520</w:t>
        </w:r>
      </w:hyperlink>
    </w:p>
    <w:p w14:paraId="4677AD84" w14:textId="72600799" w:rsidR="00610825" w:rsidRPr="00D13B67" w:rsidRDefault="00610825" w:rsidP="00305C0E">
      <w:pPr>
        <w:pStyle w:val="Reference"/>
      </w:pPr>
      <w:r w:rsidRPr="00D13B67">
        <w:t xml:space="preserve">Clegg, S. (2008). Academic Identities under Threat? </w:t>
      </w:r>
      <w:r w:rsidRPr="00D13B67">
        <w:rPr>
          <w:i/>
          <w:iCs/>
        </w:rPr>
        <w:t>British Educational Research Journal, 34</w:t>
      </w:r>
      <w:r w:rsidRPr="00D13B67">
        <w:t>(3), 329–345.</w:t>
      </w:r>
    </w:p>
    <w:p w14:paraId="757491C5" w14:textId="2A561A89" w:rsidR="00EC287C" w:rsidRPr="00D13B67" w:rsidRDefault="00EC287C" w:rsidP="00305C0E">
      <w:pPr>
        <w:pStyle w:val="Reference"/>
      </w:pPr>
      <w:r w:rsidRPr="00D13B67">
        <w:t xml:space="preserve">Coleman, R. (2001). Designing for our future selves. In W. F. E. Preiser &amp; E. Ostroff, </w:t>
      </w:r>
      <w:r w:rsidRPr="00D13B67">
        <w:rPr>
          <w:i/>
        </w:rPr>
        <w:t>Universal design handbook</w:t>
      </w:r>
      <w:r w:rsidRPr="00D13B67">
        <w:t>. McGraw-Hill.</w:t>
      </w:r>
    </w:p>
    <w:p w14:paraId="3732CEE9" w14:textId="0A8821AD" w:rsidR="00051F29" w:rsidRPr="00D13B67" w:rsidRDefault="00051F29" w:rsidP="00305C0E">
      <w:pPr>
        <w:pStyle w:val="Reference"/>
      </w:pPr>
      <w:r w:rsidRPr="00D13B67">
        <w:lastRenderedPageBreak/>
        <w:t xml:space="preserve">Cook-Sather, A., &amp; Cook-Sather, M. (2023). From </w:t>
      </w:r>
      <w:r w:rsidR="00C2233A" w:rsidRPr="00D13B67">
        <w:t>reporting</w:t>
      </w:r>
      <w:r w:rsidRPr="00D13B67">
        <w:t xml:space="preserve"> to </w:t>
      </w:r>
      <w:r w:rsidR="00C2233A" w:rsidRPr="00D13B67">
        <w:t>removing barriers: toward transforming accommodation culture</w:t>
      </w:r>
      <w:r w:rsidRPr="00D13B67">
        <w:t xml:space="preserve"> into </w:t>
      </w:r>
      <w:r w:rsidR="00C2233A" w:rsidRPr="00D13B67">
        <w:t>equity culture</w:t>
      </w:r>
      <w:r w:rsidRPr="00D13B67">
        <w:t xml:space="preserve">. </w:t>
      </w:r>
      <w:r w:rsidRPr="00D13B67">
        <w:rPr>
          <w:i/>
          <w:iCs/>
        </w:rPr>
        <w:t>Education Sciences</w:t>
      </w:r>
      <w:r w:rsidRPr="00D13B67">
        <w:t xml:space="preserve">, </w:t>
      </w:r>
      <w:r w:rsidRPr="00D13B67">
        <w:rPr>
          <w:i/>
          <w:iCs/>
        </w:rPr>
        <w:t>13</w:t>
      </w:r>
      <w:r w:rsidRPr="00D13B67">
        <w:t xml:space="preserve">(6), 611–611. </w:t>
      </w:r>
      <w:hyperlink r:id="rId54" w:history="1">
        <w:r w:rsidRPr="00D13B67">
          <w:rPr>
            <w:rStyle w:val="Hyperlink"/>
          </w:rPr>
          <w:t>https://doi.org/10.3390/educsci13060611</w:t>
        </w:r>
      </w:hyperlink>
    </w:p>
    <w:p w14:paraId="2B66CD40" w14:textId="420865F8" w:rsidR="00E44B0D" w:rsidRPr="00D13B67" w:rsidRDefault="00E44B0D" w:rsidP="00305C0E">
      <w:pPr>
        <w:pStyle w:val="Reference"/>
      </w:pPr>
      <w:r w:rsidRPr="00D13B67">
        <w:t xml:space="preserve">Costanza-Chock, S. (2020). </w:t>
      </w:r>
      <w:r w:rsidRPr="00D13B67">
        <w:rPr>
          <w:i/>
          <w:iCs/>
        </w:rPr>
        <w:t>Design Justice: Community-Led Practices to Build the Worlds We Need</w:t>
      </w:r>
      <w:r w:rsidRPr="00D13B67">
        <w:t xml:space="preserve">. The MIT Press. </w:t>
      </w:r>
      <w:hyperlink r:id="rId55" w:history="1">
        <w:r w:rsidRPr="00D13B67">
          <w:rPr>
            <w:rStyle w:val="Hyperlink"/>
          </w:rPr>
          <w:t>https://doi.org/10.7551/mitpress/12255.001.0001</w:t>
        </w:r>
      </w:hyperlink>
    </w:p>
    <w:p w14:paraId="72FFFB43" w14:textId="494F34D2" w:rsidR="0062669E" w:rsidRPr="00D13B67" w:rsidRDefault="0062669E" w:rsidP="00305C0E">
      <w:pPr>
        <w:pStyle w:val="Reference"/>
      </w:pPr>
      <w:r w:rsidRPr="00D13B67">
        <w:t xml:space="preserve">Courtad, C. A., &amp; Bakken, J. (2020). </w:t>
      </w:r>
      <w:r w:rsidRPr="00D13B67">
        <w:rPr>
          <w:i/>
          <w:iCs/>
        </w:rPr>
        <w:t>University Centers for Students with Disabilities: A Pilot Study</w:t>
      </w:r>
      <w:r w:rsidRPr="00D13B67">
        <w:t xml:space="preserve"> (pp. 413–421). </w:t>
      </w:r>
      <w:hyperlink r:id="rId56" w:history="1">
        <w:r w:rsidRPr="00D13B67">
          <w:rPr>
            <w:rStyle w:val="Hyperlink"/>
          </w:rPr>
          <w:t>https://doi.org/10.1007/978-981-15-5584-8_35</w:t>
        </w:r>
      </w:hyperlink>
    </w:p>
    <w:p w14:paraId="2123D1AE" w14:textId="5FE93B45" w:rsidR="00F25C14" w:rsidRPr="00D13B67" w:rsidRDefault="0032742F" w:rsidP="00305C0E">
      <w:pPr>
        <w:pStyle w:val="Reference"/>
      </w:pPr>
      <w:r w:rsidRPr="00D13B67">
        <w:t xml:space="preserve">Creswell, J. W., &amp; Miller, D. L. (2000). Determining </w:t>
      </w:r>
      <w:r w:rsidR="00C2233A" w:rsidRPr="00D13B67">
        <w:t>validity</w:t>
      </w:r>
      <w:r w:rsidRPr="00D13B67">
        <w:t xml:space="preserve"> in </w:t>
      </w:r>
      <w:r w:rsidR="00C2233A" w:rsidRPr="00D13B67">
        <w:t>qualitative inquiry</w:t>
      </w:r>
      <w:r w:rsidRPr="00D13B67">
        <w:t xml:space="preserve">. </w:t>
      </w:r>
      <w:r w:rsidRPr="00D13B67">
        <w:rPr>
          <w:i/>
          <w:iCs/>
        </w:rPr>
        <w:t>Theory into Practice</w:t>
      </w:r>
      <w:r w:rsidRPr="00D13B67">
        <w:t xml:space="preserve">, </w:t>
      </w:r>
      <w:r w:rsidRPr="00D13B67">
        <w:rPr>
          <w:i/>
          <w:iCs/>
        </w:rPr>
        <w:t>39</w:t>
      </w:r>
      <w:r w:rsidRPr="00D13B67">
        <w:t xml:space="preserve">(3), 124–130. </w:t>
      </w:r>
      <w:hyperlink r:id="rId57" w:history="1">
        <w:r w:rsidRPr="00D13B67">
          <w:rPr>
            <w:rStyle w:val="Hyperlink"/>
          </w:rPr>
          <w:t>https://doi.org/10.1207/s15430421tip3903_2</w:t>
        </w:r>
      </w:hyperlink>
    </w:p>
    <w:p w14:paraId="7A09124E" w14:textId="3DA31208" w:rsidR="001747E1" w:rsidRPr="00D13B67" w:rsidRDefault="001747E1" w:rsidP="00305C0E">
      <w:pPr>
        <w:pStyle w:val="Reference"/>
      </w:pPr>
      <w:r w:rsidRPr="00D13B67">
        <w:t xml:space="preserve">Dana, C., Soffe, B., Shipley, J., Licari, F., Larsen, R., Plummer, K., Bybee, S., &amp; Jensen, J. (2021). Why do faculty resist change? </w:t>
      </w:r>
      <w:proofErr w:type="spellStart"/>
      <w:r w:rsidRPr="00D13B67">
        <w:rPr>
          <w:i/>
          <w:iCs/>
        </w:rPr>
        <w:t>MedEdPublish</w:t>
      </w:r>
      <w:proofErr w:type="spellEnd"/>
      <w:r w:rsidRPr="00D13B67">
        <w:rPr>
          <w:i/>
          <w:iCs/>
        </w:rPr>
        <w:t>, 10</w:t>
      </w:r>
      <w:r w:rsidRPr="00D13B67">
        <w:t xml:space="preserve">, 89. </w:t>
      </w:r>
      <w:hyperlink r:id="rId58" w:history="1">
        <w:r w:rsidRPr="00D13B67">
          <w:rPr>
            <w:rStyle w:val="Hyperlink"/>
          </w:rPr>
          <w:t>https://doi.org/10.15694/mep.2021.000089.1</w:t>
        </w:r>
      </w:hyperlink>
    </w:p>
    <w:p w14:paraId="5FB6148D" w14:textId="77777777" w:rsidR="00BF603A" w:rsidRPr="00D13B67" w:rsidRDefault="00BF603A" w:rsidP="00305C0E">
      <w:pPr>
        <w:pStyle w:val="Reference"/>
      </w:pPr>
      <w:proofErr w:type="spellStart"/>
      <w:r w:rsidRPr="00D13B67">
        <w:t>Darvishy</w:t>
      </w:r>
      <w:proofErr w:type="spellEnd"/>
      <w:r w:rsidRPr="00D13B67">
        <w:t xml:space="preserve">, A., Sethe, R., Engler, I., </w:t>
      </w:r>
      <w:proofErr w:type="spellStart"/>
      <w:r w:rsidRPr="00D13B67">
        <w:t>Pierrès</w:t>
      </w:r>
      <w:proofErr w:type="spellEnd"/>
      <w:r w:rsidRPr="00D13B67">
        <w:t xml:space="preserve">, O., &amp; Manning, J. (2023). The state of scientific PDF accessibility in repositories: A survey in Switzerland. </w:t>
      </w:r>
      <w:r w:rsidRPr="00D13B67">
        <w:rPr>
          <w:i/>
          <w:iCs/>
        </w:rPr>
        <w:t>Learned Publishing</w:t>
      </w:r>
      <w:r w:rsidRPr="00D13B67">
        <w:t xml:space="preserve">, </w:t>
      </w:r>
      <w:r w:rsidRPr="00D13B67">
        <w:rPr>
          <w:i/>
          <w:iCs/>
        </w:rPr>
        <w:t>36</w:t>
      </w:r>
      <w:r w:rsidRPr="00D13B67">
        <w:t xml:space="preserve">(4), 577–584. </w:t>
      </w:r>
      <w:hyperlink r:id="rId59" w:history="1">
        <w:r w:rsidRPr="00D13B67">
          <w:rPr>
            <w:rStyle w:val="Hyperlink"/>
          </w:rPr>
          <w:t>https://doi.org/10.1002/leap.1581</w:t>
        </w:r>
      </w:hyperlink>
    </w:p>
    <w:p w14:paraId="78F81121" w14:textId="4383FAB9" w:rsidR="00BF603A" w:rsidRPr="00D13B67" w:rsidRDefault="00F821AB" w:rsidP="00305C0E">
      <w:pPr>
        <w:pStyle w:val="Reference"/>
      </w:pPr>
      <w:proofErr w:type="spellStart"/>
      <w:r w:rsidRPr="00D13B67">
        <w:t>Demmans</w:t>
      </w:r>
      <w:proofErr w:type="spellEnd"/>
      <w:r w:rsidRPr="00D13B67">
        <w:t xml:space="preserve"> Epp, C., </w:t>
      </w:r>
      <w:proofErr w:type="spellStart"/>
      <w:r w:rsidRPr="00D13B67">
        <w:t>Phirangee</w:t>
      </w:r>
      <w:proofErr w:type="spellEnd"/>
      <w:r w:rsidRPr="00D13B67">
        <w:t xml:space="preserve">, K., Hewitt, J., &amp; Perfetti, C. A. (2020). Learning management system and course influences on student actions and learning experiences. </w:t>
      </w:r>
      <w:r w:rsidRPr="00D13B67">
        <w:rPr>
          <w:i/>
          <w:iCs/>
        </w:rPr>
        <w:t>Educational Technology Research and Development</w:t>
      </w:r>
      <w:r w:rsidRPr="00D13B67">
        <w:t xml:space="preserve">, </w:t>
      </w:r>
      <w:r w:rsidRPr="00D13B67">
        <w:rPr>
          <w:i/>
          <w:iCs/>
        </w:rPr>
        <w:t>68</w:t>
      </w:r>
      <w:r w:rsidRPr="00D13B67">
        <w:t xml:space="preserve">(6), 3263–3297. APA </w:t>
      </w:r>
      <w:proofErr w:type="spellStart"/>
      <w:r w:rsidRPr="00D13B67">
        <w:t>PsycInfo</w:t>
      </w:r>
      <w:proofErr w:type="spellEnd"/>
      <w:r w:rsidRPr="00D13B67">
        <w:t xml:space="preserve"> (2020-92256-021). </w:t>
      </w:r>
      <w:hyperlink r:id="rId60" w:history="1">
        <w:r w:rsidRPr="00D13B67">
          <w:rPr>
            <w:rStyle w:val="Hyperlink"/>
          </w:rPr>
          <w:t>https://doi.org/10.1007/s11423-020-09821-1</w:t>
        </w:r>
      </w:hyperlink>
    </w:p>
    <w:p w14:paraId="517E3DB1" w14:textId="133B3872" w:rsidR="2E77BAFE" w:rsidRPr="00D13B67" w:rsidRDefault="2E77BAFE" w:rsidP="00305C0E">
      <w:pPr>
        <w:pStyle w:val="Reference"/>
      </w:pPr>
      <w:r w:rsidRPr="00D13B67">
        <w:t xml:space="preserve">De Laet, H., </w:t>
      </w:r>
      <w:proofErr w:type="spellStart"/>
      <w:r w:rsidRPr="00D13B67">
        <w:t>Nijhof</w:t>
      </w:r>
      <w:proofErr w:type="spellEnd"/>
      <w:r w:rsidRPr="00D13B67">
        <w:t xml:space="preserve">, A. D., &amp; Wiersema, J. R. (2025). Adults with </w:t>
      </w:r>
      <w:r w:rsidR="00C2233A" w:rsidRPr="00D13B67">
        <w:t>autism prefer person-first language</w:t>
      </w:r>
      <w:r w:rsidRPr="00D13B67">
        <w:t xml:space="preserve"> in </w:t>
      </w:r>
      <w:proofErr w:type="spellStart"/>
      <w:r w:rsidR="00C2233A" w:rsidRPr="00D13B67">
        <w:t>dutch</w:t>
      </w:r>
      <w:proofErr w:type="spellEnd"/>
      <w:r w:rsidR="00C2233A" w:rsidRPr="00D13B67">
        <w:t>: a cross-country study</w:t>
      </w:r>
      <w:r w:rsidRPr="00D13B67">
        <w:t xml:space="preserve">. </w:t>
      </w:r>
      <w:r w:rsidRPr="00D13B67">
        <w:rPr>
          <w:i/>
          <w:iCs/>
        </w:rPr>
        <w:t>Journal of Autism and Developmental Disorders, 55</w:t>
      </w:r>
      <w:r w:rsidRPr="00D13B67">
        <w:t xml:space="preserve">(6), 2027–2033. </w:t>
      </w:r>
      <w:hyperlink r:id="rId61">
        <w:r w:rsidRPr="00D13B67">
          <w:rPr>
            <w:rStyle w:val="Hyperlink"/>
          </w:rPr>
          <w:t>https://doi.org/10.1007/s10803-023-06192-3</w:t>
        </w:r>
      </w:hyperlink>
    </w:p>
    <w:p w14:paraId="4B1303A3" w14:textId="38514F57" w:rsidR="006C3B10" w:rsidRPr="00D13B67" w:rsidRDefault="006C3B10" w:rsidP="00305C0E">
      <w:pPr>
        <w:pStyle w:val="Reference"/>
      </w:pPr>
      <w:r w:rsidRPr="00D13B67">
        <w:t xml:space="preserve">Denscombe, M. (2025). Decolonial research methodology: An assessment of the challenge to established practice. </w:t>
      </w:r>
      <w:r w:rsidRPr="00D13B67">
        <w:rPr>
          <w:i/>
          <w:iCs/>
        </w:rPr>
        <w:t>International Journal of Social Research Methodology: Theory &amp; Practice</w:t>
      </w:r>
      <w:r w:rsidRPr="00D13B67">
        <w:t xml:space="preserve">, </w:t>
      </w:r>
      <w:r w:rsidRPr="00D13B67">
        <w:rPr>
          <w:i/>
          <w:iCs/>
        </w:rPr>
        <w:t>28</w:t>
      </w:r>
      <w:r w:rsidRPr="00D13B67">
        <w:t xml:space="preserve">(2), 231–240. (2024-88124-001). </w:t>
      </w:r>
      <w:hyperlink r:id="rId62" w:history="1">
        <w:r w:rsidRPr="00D13B67">
          <w:rPr>
            <w:rStyle w:val="Hyperlink"/>
          </w:rPr>
          <w:t>https://doi.org/10.1080/13645579.2024.2357558</w:t>
        </w:r>
      </w:hyperlink>
    </w:p>
    <w:p w14:paraId="3A971703" w14:textId="2780008F" w:rsidR="00391129" w:rsidRPr="00D13B67" w:rsidRDefault="00391129" w:rsidP="00305C0E">
      <w:pPr>
        <w:pStyle w:val="Reference"/>
      </w:pPr>
      <w:r w:rsidRPr="00D13B67">
        <w:t xml:space="preserve">Denny, G. S., &amp; Carson, E. K. (1994). Perceptions of </w:t>
      </w:r>
      <w:r w:rsidR="00C2233A" w:rsidRPr="00D13B67">
        <w:rPr>
          <w:iCs/>
        </w:rPr>
        <w:t>campus climate</w:t>
      </w:r>
      <w:r w:rsidRPr="00D13B67">
        <w:t xml:space="preserve"> for </w:t>
      </w:r>
      <w:r w:rsidR="00C2233A" w:rsidRPr="00D13B67">
        <w:rPr>
          <w:iCs/>
        </w:rPr>
        <w:t>students</w:t>
      </w:r>
      <w:r w:rsidRPr="00D13B67">
        <w:t xml:space="preserve"> with </w:t>
      </w:r>
      <w:r w:rsidR="00C2233A" w:rsidRPr="00D13B67">
        <w:rPr>
          <w:iCs/>
        </w:rPr>
        <w:t>disabilities</w:t>
      </w:r>
      <w:r w:rsidRPr="00D13B67">
        <w:t>.</w:t>
      </w:r>
    </w:p>
    <w:p w14:paraId="3005210D" w14:textId="698D1BD7" w:rsidR="00DD087C" w:rsidRPr="00D13B67" w:rsidRDefault="00DD087C" w:rsidP="00305C0E">
      <w:pPr>
        <w:pStyle w:val="Reference"/>
      </w:pPr>
      <w:r w:rsidRPr="00D13B67">
        <w:lastRenderedPageBreak/>
        <w:t xml:space="preserve">Devlin, R. F., &amp; Pothier, Dianne. (2006). </w:t>
      </w:r>
      <w:r w:rsidRPr="00D13B67">
        <w:rPr>
          <w:i/>
          <w:iCs/>
        </w:rPr>
        <w:t>Critical disability theory: Essays in philosophy, politics, policy, and law</w:t>
      </w:r>
      <w:r w:rsidRPr="00D13B67">
        <w:t xml:space="preserve">. UBC Press. </w:t>
      </w:r>
      <w:hyperlink r:id="rId63" w:history="1">
        <w:r w:rsidRPr="00D13B67">
          <w:rPr>
            <w:rStyle w:val="Hyperlink"/>
          </w:rPr>
          <w:t>https://doi.org/10.59962/9780774851695</w:t>
        </w:r>
      </w:hyperlink>
    </w:p>
    <w:p w14:paraId="73119B6B" w14:textId="48B2213A" w:rsidR="00857329" w:rsidRPr="00D13B67" w:rsidRDefault="6F98DDEB" w:rsidP="00305C0E">
      <w:pPr>
        <w:pStyle w:val="Reference"/>
      </w:pPr>
      <w:r w:rsidRPr="00D13B67">
        <w:t xml:space="preserve">Dolmage, J. T. (2017). </w:t>
      </w:r>
      <w:r w:rsidRPr="00D13B67">
        <w:rPr>
          <w:i/>
          <w:iCs/>
        </w:rPr>
        <w:t xml:space="preserve">Academic </w:t>
      </w:r>
      <w:r w:rsidR="00C2233A" w:rsidRPr="00D13B67">
        <w:rPr>
          <w:i/>
          <w:iCs/>
        </w:rPr>
        <w:t>ableism</w:t>
      </w:r>
      <w:r w:rsidRPr="00D13B67">
        <w:rPr>
          <w:i/>
          <w:iCs/>
        </w:rPr>
        <w:t xml:space="preserve">: Disability and </w:t>
      </w:r>
      <w:r w:rsidR="00C2233A" w:rsidRPr="00D13B67">
        <w:rPr>
          <w:i/>
          <w:iCs/>
        </w:rPr>
        <w:t>higher education</w:t>
      </w:r>
      <w:r w:rsidRPr="00D13B67">
        <w:t xml:space="preserve">. University of Michigan Press. </w:t>
      </w:r>
      <w:hyperlink r:id="rId64">
        <w:r w:rsidRPr="00D13B67">
          <w:rPr>
            <w:rStyle w:val="Hyperlink"/>
          </w:rPr>
          <w:t>https://doi.org/10.3998/mpub.9708722</w:t>
        </w:r>
      </w:hyperlink>
    </w:p>
    <w:p w14:paraId="4F46AB84" w14:textId="7B0D4F8F" w:rsidR="000378F2" w:rsidRPr="00D13B67" w:rsidRDefault="000378F2" w:rsidP="00305C0E">
      <w:pPr>
        <w:pStyle w:val="Reference"/>
      </w:pPr>
      <w:r w:rsidRPr="00D13B67">
        <w:t xml:space="preserve">Donato, R. (2003). Action </w:t>
      </w:r>
      <w:r w:rsidR="00C2233A" w:rsidRPr="00D13B67">
        <w:t>r</w:t>
      </w:r>
      <w:r w:rsidRPr="00D13B67">
        <w:t xml:space="preserve">esearch. </w:t>
      </w:r>
      <w:r w:rsidRPr="00D13B67">
        <w:rPr>
          <w:i/>
          <w:iCs/>
        </w:rPr>
        <w:t>ERIC Digest</w:t>
      </w:r>
      <w:r w:rsidRPr="00D13B67">
        <w:t xml:space="preserve">. </w:t>
      </w:r>
      <w:hyperlink r:id="rId65" w:history="1">
        <w:r w:rsidRPr="00D13B67">
          <w:rPr>
            <w:rStyle w:val="Hyperlink"/>
          </w:rPr>
          <w:t>https://www.researchgate.net/publication/242479384_Action_Research_Exploring_Teaching_Practice</w:t>
        </w:r>
      </w:hyperlink>
    </w:p>
    <w:p w14:paraId="02E0E762" w14:textId="2AD1A2DC" w:rsidR="004362C4" w:rsidRPr="00D13B67" w:rsidRDefault="004362C4" w:rsidP="00305C0E">
      <w:pPr>
        <w:pStyle w:val="Reference"/>
      </w:pPr>
      <w:r w:rsidRPr="00D13B67">
        <w:t xml:space="preserve">Donovan, R. (2023). Independent 4th </w:t>
      </w:r>
      <w:r w:rsidR="00C2233A" w:rsidRPr="00D13B67">
        <w:rPr>
          <w:iCs/>
        </w:rPr>
        <w:t>review</w:t>
      </w:r>
      <w:r w:rsidRPr="00D13B67">
        <w:t xml:space="preserve"> of the </w:t>
      </w:r>
      <w:r w:rsidR="00C2233A" w:rsidRPr="00D13B67">
        <w:rPr>
          <w:iCs/>
        </w:rPr>
        <w:t>accessibility</w:t>
      </w:r>
      <w:r w:rsidRPr="00D13B67">
        <w:t xml:space="preserve"> for </w:t>
      </w:r>
      <w:r w:rsidR="00D13B67" w:rsidRPr="00D13B67">
        <w:rPr>
          <w:iCs/>
        </w:rPr>
        <w:t>Ontarians</w:t>
      </w:r>
      <w:r w:rsidRPr="00D13B67">
        <w:t xml:space="preserve"> with </w:t>
      </w:r>
      <w:r w:rsidR="00C2233A" w:rsidRPr="00D13B67">
        <w:rPr>
          <w:iCs/>
        </w:rPr>
        <w:t>disabilities act (</w:t>
      </w:r>
      <w:proofErr w:type="spellStart"/>
      <w:r w:rsidR="00C2233A" w:rsidRPr="00D13B67">
        <w:rPr>
          <w:iCs/>
        </w:rPr>
        <w:t>aoda</w:t>
      </w:r>
      <w:proofErr w:type="spellEnd"/>
      <w:r w:rsidRPr="00D13B67">
        <w:t>).</w:t>
      </w:r>
    </w:p>
    <w:p w14:paraId="160F611A" w14:textId="7A8641D6" w:rsidR="009B71AC" w:rsidRPr="00D13B67" w:rsidRDefault="009B71AC" w:rsidP="00305C0E">
      <w:pPr>
        <w:pStyle w:val="Reference"/>
      </w:pPr>
      <w:r w:rsidRPr="00D13B67">
        <w:t xml:space="preserve">Dorfman, D. (2019). Fear of the </w:t>
      </w:r>
      <w:r w:rsidR="00C2233A" w:rsidRPr="00D13B67">
        <w:t>disability con: perceptions</w:t>
      </w:r>
      <w:r w:rsidRPr="00D13B67">
        <w:t xml:space="preserve"> of </w:t>
      </w:r>
      <w:r w:rsidR="00C2233A" w:rsidRPr="00D13B67">
        <w:t>fraud</w:t>
      </w:r>
      <w:r w:rsidRPr="00D13B67">
        <w:t xml:space="preserve"> and </w:t>
      </w:r>
      <w:r w:rsidR="00C2233A" w:rsidRPr="00D13B67">
        <w:t>special rights discourse</w:t>
      </w:r>
      <w:r w:rsidRPr="00D13B67">
        <w:t xml:space="preserve">. </w:t>
      </w:r>
      <w:r w:rsidRPr="00D13B67">
        <w:rPr>
          <w:i/>
          <w:iCs/>
        </w:rPr>
        <w:t>Law &amp; Society Review, 53</w:t>
      </w:r>
      <w:r w:rsidRPr="00D13B67">
        <w:t xml:space="preserve">(4), 1051–1091. </w:t>
      </w:r>
      <w:hyperlink r:id="rId66" w:history="1">
        <w:r w:rsidRPr="00D13B67">
          <w:rPr>
            <w:rStyle w:val="Hyperlink"/>
          </w:rPr>
          <w:t>https://doi.org/10.1111/lasr.12437</w:t>
        </w:r>
      </w:hyperlink>
    </w:p>
    <w:p w14:paraId="45367389" w14:textId="7ED60A54" w:rsidR="00FD0230" w:rsidRPr="00D13B67" w:rsidRDefault="004362C4" w:rsidP="00305C0E">
      <w:pPr>
        <w:pStyle w:val="Reference"/>
      </w:pPr>
      <w:r w:rsidRPr="00D13B67">
        <w:t xml:space="preserve">Dorfman, D., &amp; Burke, T. F. (2020, December 7). Thirty </w:t>
      </w:r>
      <w:r w:rsidR="00C2233A" w:rsidRPr="00D13B67">
        <w:t>years later, still fighting over the ADA.</w:t>
      </w:r>
      <w:r w:rsidRPr="00D13B67">
        <w:t xml:space="preserve"> </w:t>
      </w:r>
      <w:r w:rsidRPr="00D13B67">
        <w:rPr>
          <w:i/>
          <w:iCs/>
        </w:rPr>
        <w:t xml:space="preserve">The Regulatory Review. </w:t>
      </w:r>
      <w:hyperlink r:id="rId67" w:history="1">
        <w:r w:rsidRPr="00D13B67">
          <w:rPr>
            <w:rStyle w:val="Hyperlink"/>
          </w:rPr>
          <w:t>https://www.theregreview.org/2020/12/07/dorfman-burke-thirty-years-fighting-over-ada/</w:t>
        </w:r>
      </w:hyperlink>
    </w:p>
    <w:p w14:paraId="28A106C2" w14:textId="16C37124" w:rsidR="00642E16" w:rsidRPr="00D13B67" w:rsidRDefault="00642E16" w:rsidP="00305C0E">
      <w:pPr>
        <w:pStyle w:val="Reference"/>
      </w:pPr>
      <w:r w:rsidRPr="00D13B67">
        <w:t xml:space="preserve">Draper, J. (2004). </w:t>
      </w:r>
      <w:r w:rsidRPr="00D13B67">
        <w:rPr>
          <w:i/>
          <w:iCs/>
        </w:rPr>
        <w:t>The relationship between research question and research design: 2nd Ed</w:t>
      </w:r>
      <w:r w:rsidRPr="00D13B67">
        <w:t xml:space="preserve"> (P. A. Crookes &amp; S. Davies, Eds.; pp. 69–84). </w:t>
      </w:r>
      <w:hyperlink r:id="rId68" w:history="1">
        <w:r w:rsidRPr="00D13B67">
          <w:rPr>
            <w:rStyle w:val="Hyperlink"/>
          </w:rPr>
          <w:t>https://oro.open.ac.uk/12053/</w:t>
        </w:r>
      </w:hyperlink>
    </w:p>
    <w:p w14:paraId="05845C33" w14:textId="77777777" w:rsidR="3D583F64" w:rsidRPr="00D13B67" w:rsidRDefault="3D583F64" w:rsidP="00305C0E">
      <w:pPr>
        <w:pStyle w:val="Reference"/>
      </w:pPr>
      <w:r w:rsidRPr="00D13B67">
        <w:t xml:space="preserve">Dunn, D. S., &amp; Andrews, E. E. (2015). Person-first and identity-first language: Developing psychologists’ cultural competence using disability language. </w:t>
      </w:r>
      <w:r w:rsidRPr="00D13B67">
        <w:rPr>
          <w:i/>
          <w:iCs/>
        </w:rPr>
        <w:t>American Psychologist, 70</w:t>
      </w:r>
      <w:r w:rsidRPr="00D13B67">
        <w:t xml:space="preserve">(3), 255–264. </w:t>
      </w:r>
      <w:hyperlink r:id="rId69">
        <w:r w:rsidRPr="00D13B67">
          <w:rPr>
            <w:rStyle w:val="Hyperlink"/>
          </w:rPr>
          <w:t>https://doi.org/10.1037/a0038636</w:t>
        </w:r>
      </w:hyperlink>
    </w:p>
    <w:p w14:paraId="427A2C0A" w14:textId="5D1EF90C" w:rsidR="00535D87" w:rsidRPr="00D13B67" w:rsidRDefault="00535D87" w:rsidP="00305C0E">
      <w:pPr>
        <w:pStyle w:val="Reference"/>
      </w:pPr>
      <w:r w:rsidRPr="00D13B67">
        <w:t xml:space="preserve">Edwards, M., </w:t>
      </w:r>
      <w:proofErr w:type="spellStart"/>
      <w:r w:rsidRPr="00D13B67">
        <w:t>Poed</w:t>
      </w:r>
      <w:proofErr w:type="spellEnd"/>
      <w:r w:rsidRPr="00D13B67">
        <w:t xml:space="preserve">, S., Al-Nawab, H., &amp; Penna, O. (2022). Academic accommodations for university students living with disability and the potential of universal design to address their needs. </w:t>
      </w:r>
      <w:r w:rsidRPr="00D13B67">
        <w:rPr>
          <w:i/>
          <w:iCs/>
        </w:rPr>
        <w:t>Higher Education</w:t>
      </w:r>
      <w:r w:rsidRPr="00D13B67">
        <w:t xml:space="preserve">, </w:t>
      </w:r>
      <w:r w:rsidRPr="00D13B67">
        <w:rPr>
          <w:i/>
          <w:iCs/>
        </w:rPr>
        <w:t>84</w:t>
      </w:r>
      <w:r w:rsidRPr="00D13B67">
        <w:t xml:space="preserve">(4), 779–799. </w:t>
      </w:r>
      <w:hyperlink r:id="rId70" w:history="1">
        <w:r w:rsidRPr="00D13B67">
          <w:rPr>
            <w:rStyle w:val="Hyperlink"/>
          </w:rPr>
          <w:t>https://doi.org/10.1007/s10734-021-00800-w</w:t>
        </w:r>
      </w:hyperlink>
    </w:p>
    <w:p w14:paraId="4FE2EB21" w14:textId="6BE0AF48" w:rsidR="006D0785" w:rsidRPr="00D13B67" w:rsidRDefault="006D0785" w:rsidP="00305C0E">
      <w:pPr>
        <w:pStyle w:val="Reference"/>
      </w:pPr>
      <w:r w:rsidRPr="00D13B67">
        <w:t xml:space="preserve">Ekin, M., </w:t>
      </w:r>
      <w:proofErr w:type="spellStart"/>
      <w:r w:rsidRPr="00D13B67">
        <w:t>Krejtz</w:t>
      </w:r>
      <w:proofErr w:type="spellEnd"/>
      <w:r w:rsidRPr="00D13B67">
        <w:t xml:space="preserve">, K., Duarte, C., Pereira, L. S., Marcus-Quinn, A., &amp; </w:t>
      </w:r>
      <w:proofErr w:type="spellStart"/>
      <w:r w:rsidRPr="00D13B67">
        <w:t>Krejtz</w:t>
      </w:r>
      <w:proofErr w:type="spellEnd"/>
      <w:r w:rsidRPr="00D13B67">
        <w:t xml:space="preserve">, I. (2025). Impact of web accessibility on cognitive engagement in individuals without disabilities: Evidence from a psychophysiological study. </w:t>
      </w:r>
      <w:r w:rsidRPr="00D13B67">
        <w:rPr>
          <w:i/>
          <w:iCs/>
        </w:rPr>
        <w:t>PLOS ONE</w:t>
      </w:r>
      <w:r w:rsidRPr="00D13B67">
        <w:t xml:space="preserve">, </w:t>
      </w:r>
      <w:r w:rsidRPr="00D13B67">
        <w:rPr>
          <w:i/>
          <w:iCs/>
        </w:rPr>
        <w:t>20</w:t>
      </w:r>
      <w:r w:rsidRPr="00D13B67">
        <w:t xml:space="preserve">(7), e0328552. </w:t>
      </w:r>
      <w:hyperlink r:id="rId71" w:history="1">
        <w:r w:rsidRPr="00D13B67">
          <w:rPr>
            <w:rStyle w:val="Hyperlink"/>
          </w:rPr>
          <w:t>https://doi.org/10.1371/journal.pone.0328552</w:t>
        </w:r>
      </w:hyperlink>
    </w:p>
    <w:p w14:paraId="5E7320FC" w14:textId="5908B86C" w:rsidR="00AC760E" w:rsidRPr="00D13B67" w:rsidRDefault="00AC760E" w:rsidP="00305C0E">
      <w:pPr>
        <w:pStyle w:val="Reference"/>
      </w:pPr>
      <w:r w:rsidRPr="00D13B67">
        <w:lastRenderedPageBreak/>
        <w:t xml:space="preserve">Ellcessor, E. (2010). Bridging Disability Divides: A critical history of web content accessibility through 2001. </w:t>
      </w:r>
      <w:r w:rsidRPr="00D13B67">
        <w:rPr>
          <w:i/>
          <w:iCs/>
        </w:rPr>
        <w:t>Information, Communication &amp; Society</w:t>
      </w:r>
      <w:r w:rsidRPr="00D13B67">
        <w:t xml:space="preserve">, </w:t>
      </w:r>
      <w:r w:rsidRPr="00D13B67">
        <w:rPr>
          <w:i/>
          <w:iCs/>
        </w:rPr>
        <w:t>13</w:t>
      </w:r>
      <w:r w:rsidRPr="00D13B67">
        <w:t xml:space="preserve">(3), 289–308. </w:t>
      </w:r>
      <w:hyperlink r:id="rId72" w:history="1">
        <w:r w:rsidRPr="00D13B67">
          <w:rPr>
            <w:rStyle w:val="Hyperlink"/>
          </w:rPr>
          <w:t>https://doi.org/10.1080/13691180903456546</w:t>
        </w:r>
      </w:hyperlink>
    </w:p>
    <w:p w14:paraId="6A1EA7FD" w14:textId="3661CB46" w:rsidR="002B0EB8" w:rsidRPr="00D13B67" w:rsidRDefault="002B0EB8" w:rsidP="00305C0E">
      <w:pPr>
        <w:pStyle w:val="Reference"/>
      </w:pPr>
      <w:r w:rsidRPr="00D13B67">
        <w:t xml:space="preserve">Feingold, L. (2026). </w:t>
      </w:r>
      <w:r w:rsidRPr="00D13B67">
        <w:rPr>
          <w:i/>
          <w:iCs/>
        </w:rPr>
        <w:t xml:space="preserve">Digital </w:t>
      </w:r>
      <w:r w:rsidR="00C2233A" w:rsidRPr="00D13B67">
        <w:rPr>
          <w:i/>
          <w:iCs/>
        </w:rPr>
        <w:t>accessibility ethics: disability inclusion</w:t>
      </w:r>
      <w:r w:rsidRPr="00D13B67">
        <w:rPr>
          <w:i/>
          <w:iCs/>
        </w:rPr>
        <w:t xml:space="preserve"> in </w:t>
      </w:r>
      <w:r w:rsidR="00C2233A" w:rsidRPr="00D13B67">
        <w:rPr>
          <w:i/>
          <w:iCs/>
        </w:rPr>
        <w:t>all things tech</w:t>
      </w:r>
      <w:r w:rsidRPr="00D13B67">
        <w:t xml:space="preserve">. Routledge &amp; CRC Press. </w:t>
      </w:r>
      <w:hyperlink r:id="rId73" w:history="1">
        <w:r w:rsidRPr="00D13B67">
          <w:rPr>
            <w:rStyle w:val="Hyperlink"/>
          </w:rPr>
          <w:t>https://www.routledge.com/Digital-Accessibility-Ethics-Disability-Inclusion-in-All-Things-Tech/Feingold-Gilbert-Fleet/p/book/9781041018681</w:t>
        </w:r>
      </w:hyperlink>
    </w:p>
    <w:p w14:paraId="07BBB444" w14:textId="56613F45" w:rsidR="002F43EC" w:rsidRPr="00D13B67" w:rsidRDefault="002F43EC" w:rsidP="00305C0E">
      <w:pPr>
        <w:pStyle w:val="Reference"/>
      </w:pPr>
      <w:r w:rsidRPr="00D13B67">
        <w:t xml:space="preserve">Fennelly-Atkinson, R., </w:t>
      </w:r>
      <w:proofErr w:type="spellStart"/>
      <w:proofErr w:type="gramStart"/>
      <w:r w:rsidRPr="00D13B67">
        <w:t>LaPrairie</w:t>
      </w:r>
      <w:proofErr w:type="spellEnd"/>
      <w:r w:rsidRPr="00D13B67">
        <w:t xml:space="preserve"> ,Kimberly</w:t>
      </w:r>
      <w:proofErr w:type="gramEnd"/>
      <w:r w:rsidRPr="00D13B67">
        <w:t xml:space="preserve"> N., &amp; Song, D. (2022). Identifying accessibility factors affecting learner inclusion in online university programs. </w:t>
      </w:r>
      <w:r w:rsidRPr="00D13B67">
        <w:rPr>
          <w:i/>
          <w:iCs/>
        </w:rPr>
        <w:t>Distance Education</w:t>
      </w:r>
      <w:r w:rsidRPr="00D13B67">
        <w:t xml:space="preserve">, </w:t>
      </w:r>
      <w:r w:rsidRPr="00D13B67">
        <w:rPr>
          <w:i/>
          <w:iCs/>
        </w:rPr>
        <w:t>43</w:t>
      </w:r>
      <w:r w:rsidRPr="00D13B67">
        <w:t xml:space="preserve">(4), 556–573. </w:t>
      </w:r>
      <w:hyperlink r:id="rId74" w:history="1">
        <w:r w:rsidRPr="00D13B67">
          <w:rPr>
            <w:rStyle w:val="Hyperlink"/>
          </w:rPr>
          <w:t>https://doi.org/10.1080/01587919.2022.2141607</w:t>
        </w:r>
      </w:hyperlink>
    </w:p>
    <w:p w14:paraId="18D2DDFB" w14:textId="3430BF25" w:rsidR="004C07D8" w:rsidRPr="00D13B67" w:rsidRDefault="004C07D8" w:rsidP="00305C0E">
      <w:pPr>
        <w:pStyle w:val="Reference"/>
      </w:pPr>
      <w:proofErr w:type="spellStart"/>
      <w:r w:rsidRPr="00D13B67">
        <w:t>Ferleger</w:t>
      </w:r>
      <w:proofErr w:type="spellEnd"/>
      <w:r w:rsidRPr="00D13B67">
        <w:t>, D., &amp; Boyd, P. A. (1979). Anti-</w:t>
      </w:r>
      <w:r w:rsidR="00C2233A" w:rsidRPr="00D13B67">
        <w:t>institutionalization</w:t>
      </w:r>
      <w:r w:rsidRPr="00D13B67">
        <w:t xml:space="preserve">: The </w:t>
      </w:r>
      <w:r w:rsidR="00C2233A" w:rsidRPr="00D13B67">
        <w:t>promise</w:t>
      </w:r>
      <w:r w:rsidRPr="00D13B67">
        <w:t xml:space="preserve"> of the Pennhurst </w:t>
      </w:r>
      <w:r w:rsidR="00C2233A" w:rsidRPr="00D13B67">
        <w:t>case</w:t>
      </w:r>
      <w:r w:rsidRPr="00D13B67">
        <w:t xml:space="preserve">. </w:t>
      </w:r>
      <w:r w:rsidRPr="00D13B67">
        <w:rPr>
          <w:i/>
          <w:iCs/>
        </w:rPr>
        <w:t>Stanford Law Review</w:t>
      </w:r>
      <w:r w:rsidRPr="00D13B67">
        <w:t xml:space="preserve">, </w:t>
      </w:r>
      <w:r w:rsidRPr="00D13B67">
        <w:rPr>
          <w:i/>
          <w:iCs/>
        </w:rPr>
        <w:t>31</w:t>
      </w:r>
      <w:r w:rsidRPr="00D13B67">
        <w:t xml:space="preserve">(4), 717–752. </w:t>
      </w:r>
      <w:hyperlink r:id="rId75" w:history="1">
        <w:r w:rsidRPr="00D13B67">
          <w:rPr>
            <w:rStyle w:val="Hyperlink"/>
          </w:rPr>
          <w:t>https://doi.org/10.2307/1228423</w:t>
        </w:r>
      </w:hyperlink>
    </w:p>
    <w:p w14:paraId="25EAD33A" w14:textId="10DB523F" w:rsidR="00786AAD" w:rsidRPr="00D13B67" w:rsidRDefault="00786AAD" w:rsidP="00305C0E">
      <w:pPr>
        <w:pStyle w:val="Reference"/>
      </w:pPr>
      <w:proofErr w:type="spellStart"/>
      <w:r w:rsidRPr="00D13B67">
        <w:t>Fichten</w:t>
      </w:r>
      <w:proofErr w:type="spellEnd"/>
      <w:r w:rsidRPr="00D13B67">
        <w:t xml:space="preserve">, C., Olenik-Shemesh, D., Asuncion, J., Jorgensen, M., &amp; Colwell, C. (2020). </w:t>
      </w:r>
      <w:r w:rsidR="00C2233A" w:rsidRPr="00D13B67">
        <w:t>Higher education, information and communication technologies and students with disabilities: an overview of the current situation</w:t>
      </w:r>
      <w:r w:rsidRPr="00D13B67">
        <w:t>. In J. Seale (Ed.), I</w:t>
      </w:r>
      <w:r w:rsidRPr="00D13B67">
        <w:rPr>
          <w:i/>
          <w:iCs/>
        </w:rPr>
        <w:t xml:space="preserve">mproving </w:t>
      </w:r>
      <w:r w:rsidR="00C2233A" w:rsidRPr="00D13B67">
        <w:rPr>
          <w:i/>
          <w:iCs/>
        </w:rPr>
        <w:t>accessible digital practices</w:t>
      </w:r>
      <w:r w:rsidRPr="00D13B67">
        <w:rPr>
          <w:i/>
          <w:iCs/>
        </w:rPr>
        <w:t xml:space="preserve"> in </w:t>
      </w:r>
      <w:r w:rsidR="00C2233A" w:rsidRPr="00D13B67">
        <w:rPr>
          <w:i/>
          <w:iCs/>
        </w:rPr>
        <w:t>higher education</w:t>
      </w:r>
      <w:r w:rsidRPr="00D13B67">
        <w:rPr>
          <w:i/>
          <w:iCs/>
        </w:rPr>
        <w:t xml:space="preserve">: Challenges and </w:t>
      </w:r>
      <w:r w:rsidR="00C2233A" w:rsidRPr="00D13B67">
        <w:rPr>
          <w:i/>
          <w:iCs/>
        </w:rPr>
        <w:t>new practices</w:t>
      </w:r>
      <w:r w:rsidRPr="00D13B67">
        <w:rPr>
          <w:i/>
          <w:iCs/>
        </w:rPr>
        <w:t xml:space="preserve"> for </w:t>
      </w:r>
      <w:r w:rsidR="00C2233A" w:rsidRPr="00D13B67">
        <w:rPr>
          <w:i/>
          <w:iCs/>
        </w:rPr>
        <w:t>inclusion</w:t>
      </w:r>
      <w:r w:rsidRPr="00D13B67">
        <w:t xml:space="preserve"> (pp. 21–44). Springer International Publishing. </w:t>
      </w:r>
      <w:hyperlink r:id="rId76" w:history="1">
        <w:r w:rsidRPr="00D13B67">
          <w:rPr>
            <w:rStyle w:val="Hyperlink"/>
          </w:rPr>
          <w:t>https://doi.org/10.1007/978-3-030-37125-8_2</w:t>
        </w:r>
      </w:hyperlink>
    </w:p>
    <w:p w14:paraId="6D789AA9" w14:textId="31E612B3" w:rsidR="00B406BA" w:rsidRPr="00D13B67" w:rsidRDefault="00B406BA" w:rsidP="00305C0E">
      <w:pPr>
        <w:pStyle w:val="Reference"/>
      </w:pPr>
      <w:proofErr w:type="spellStart"/>
      <w:r w:rsidRPr="00D13B67">
        <w:t>Fichten</w:t>
      </w:r>
      <w:proofErr w:type="spellEnd"/>
      <w:r w:rsidRPr="00D13B67">
        <w:t xml:space="preserve">, C., Havel, A., Jorgensen, M., Wileman, S., &amp; Budd, J. (2022). Twenty </w:t>
      </w:r>
      <w:r w:rsidR="00C2233A" w:rsidRPr="00D13B67">
        <w:t>years into</w:t>
      </w:r>
      <w:r w:rsidRPr="00D13B67">
        <w:t xml:space="preserve"> the 21st </w:t>
      </w:r>
      <w:r w:rsidR="00C2233A" w:rsidRPr="00D13B67">
        <w:t>century – tech</w:t>
      </w:r>
      <w:r w:rsidRPr="00D13B67">
        <w:t xml:space="preserve">-related </w:t>
      </w:r>
      <w:r w:rsidR="00C2233A" w:rsidRPr="00D13B67">
        <w:t>accommodations</w:t>
      </w:r>
      <w:r w:rsidRPr="00D13B67">
        <w:t xml:space="preserve"> for </w:t>
      </w:r>
      <w:r w:rsidR="00C2233A" w:rsidRPr="00D13B67">
        <w:t>college students</w:t>
      </w:r>
      <w:r w:rsidRPr="00D13B67">
        <w:t xml:space="preserve"> with </w:t>
      </w:r>
      <w:r w:rsidR="00C2233A" w:rsidRPr="00D13B67">
        <w:t>mental health</w:t>
      </w:r>
      <w:r w:rsidRPr="00D13B67">
        <w:t xml:space="preserve"> and </w:t>
      </w:r>
      <w:r w:rsidR="00C2233A" w:rsidRPr="00D13B67">
        <w:t>other disabilities</w:t>
      </w:r>
      <w:r w:rsidRPr="00D13B67">
        <w:t>.</w:t>
      </w:r>
      <w:r w:rsidR="009C7E8E" w:rsidRPr="00D13B67">
        <w:t xml:space="preserve"> </w:t>
      </w:r>
      <w:r w:rsidR="009C7E8E" w:rsidRPr="00D13B67">
        <w:rPr>
          <w:i/>
        </w:rPr>
        <w:t>Journal of Education and Training Studies Vol. 10</w:t>
      </w:r>
      <w:r w:rsidR="009C7E8E" w:rsidRPr="00D13B67">
        <w:t>, No. 4; October 2022.</w:t>
      </w:r>
      <w:r w:rsidRPr="00D13B67">
        <w:t xml:space="preserve"> </w:t>
      </w:r>
      <w:hyperlink r:id="rId77" w:history="1">
        <w:r w:rsidR="00505430" w:rsidRPr="00D13B67">
          <w:rPr>
            <w:rStyle w:val="Hyperlink"/>
          </w:rPr>
          <w:t>https://doi.org/10.11114/jets.v10i4.5594</w:t>
        </w:r>
      </w:hyperlink>
    </w:p>
    <w:p w14:paraId="30F56AB5" w14:textId="0843D506" w:rsidR="00B90A36" w:rsidRPr="00D13B67" w:rsidRDefault="00B90A36" w:rsidP="00305C0E">
      <w:pPr>
        <w:pStyle w:val="Reference"/>
      </w:pPr>
      <w:r w:rsidRPr="00D13B67">
        <w:t xml:space="preserve">Flaherty, M., &amp; Roussy, A. (2014). </w:t>
      </w:r>
      <w:r w:rsidR="00C2233A" w:rsidRPr="00D13B67">
        <w:t>A failed game changer</w:t>
      </w:r>
      <w:r w:rsidRPr="00D13B67">
        <w:t>: Post-</w:t>
      </w:r>
      <w:r w:rsidR="00C2233A" w:rsidRPr="00D13B67">
        <w:t xml:space="preserve">secondary education </w:t>
      </w:r>
      <w:r w:rsidRPr="00D13B67">
        <w:t xml:space="preserve">and the </w:t>
      </w:r>
      <w:r w:rsidR="00C2233A" w:rsidRPr="00D13B67">
        <w:t>accessibility</w:t>
      </w:r>
      <w:r w:rsidRPr="00D13B67">
        <w:t xml:space="preserve"> for Ontarians with </w:t>
      </w:r>
      <w:r w:rsidR="00C2233A" w:rsidRPr="00D13B67">
        <w:t>disabilities act</w:t>
      </w:r>
      <w:r w:rsidRPr="00D13B67">
        <w:t xml:space="preserve">. </w:t>
      </w:r>
      <w:r w:rsidRPr="00D13B67">
        <w:rPr>
          <w:i/>
          <w:iCs/>
        </w:rPr>
        <w:t>Education &amp; Law Journal</w:t>
      </w:r>
      <w:r w:rsidRPr="00D13B67">
        <w:t xml:space="preserve">, </w:t>
      </w:r>
      <w:r w:rsidRPr="00D13B67">
        <w:rPr>
          <w:i/>
          <w:iCs/>
        </w:rPr>
        <w:t>24</w:t>
      </w:r>
      <w:r w:rsidRPr="00D13B67">
        <w:t>(1), 1–23.</w:t>
      </w:r>
    </w:p>
    <w:p w14:paraId="7064180E" w14:textId="77777777" w:rsidR="00167F8E" w:rsidRPr="00D13B67" w:rsidRDefault="00167F8E" w:rsidP="00305C0E">
      <w:pPr>
        <w:pStyle w:val="Reference"/>
      </w:pPr>
      <w:r w:rsidRPr="00D13B67">
        <w:t xml:space="preserve">Friesen, J. (2024, December 27). As demand for disability accommodations in universities grows, professors contend with how to handle students’ requests. </w:t>
      </w:r>
      <w:r w:rsidRPr="00D13B67">
        <w:rPr>
          <w:i/>
          <w:iCs/>
        </w:rPr>
        <w:t>The Globe and Mail</w:t>
      </w:r>
      <w:r w:rsidRPr="00D13B67">
        <w:t xml:space="preserve">. </w:t>
      </w:r>
      <w:hyperlink r:id="rId78" w:history="1">
        <w:r w:rsidRPr="00D13B67">
          <w:rPr>
            <w:rStyle w:val="Hyperlink"/>
          </w:rPr>
          <w:t>https://web.archive.org/web/20241227125430/https://www.theglobeandmail.com/canada/article-university-academic-accommodations-disabilities/</w:t>
        </w:r>
      </w:hyperlink>
    </w:p>
    <w:p w14:paraId="1138FD0A" w14:textId="74E45201" w:rsidR="006B5DB1" w:rsidRPr="00D13B67" w:rsidRDefault="006B5DB1" w:rsidP="00305C0E">
      <w:pPr>
        <w:pStyle w:val="Reference"/>
      </w:pPr>
      <w:r w:rsidRPr="00D13B67">
        <w:lastRenderedPageBreak/>
        <w:t xml:space="preserve">Fritz, R., Vu, K.-P. L., &amp; Dick, W. E. (2019). Customization: The </w:t>
      </w:r>
      <w:r w:rsidR="00C2233A" w:rsidRPr="00D13B67">
        <w:t>path</w:t>
      </w:r>
      <w:r w:rsidRPr="00D13B67">
        <w:t xml:space="preserve"> to a </w:t>
      </w:r>
      <w:r w:rsidR="00C2233A" w:rsidRPr="00D13B67">
        <w:t>better</w:t>
      </w:r>
      <w:r w:rsidRPr="00D13B67">
        <w:t xml:space="preserve"> and </w:t>
      </w:r>
      <w:r w:rsidR="00C2233A" w:rsidRPr="00D13B67">
        <w:t>more accessible web experience</w:t>
      </w:r>
      <w:r w:rsidRPr="00D13B67">
        <w:t xml:space="preserve">. In S. Yamamoto &amp; H. Mori (Eds.), </w:t>
      </w:r>
      <w:r w:rsidRPr="00D13B67">
        <w:rPr>
          <w:i/>
          <w:iCs/>
        </w:rPr>
        <w:t>Human Interface and the Management of Information. Visual Information and Knowledge Management</w:t>
      </w:r>
      <w:r w:rsidRPr="00D13B67">
        <w:t xml:space="preserve"> (pp. 3–21). Springer International Publishing. </w:t>
      </w:r>
      <w:hyperlink r:id="rId79" w:history="1">
        <w:r w:rsidRPr="00D13B67">
          <w:rPr>
            <w:rStyle w:val="Hyperlink"/>
          </w:rPr>
          <w:t>https://doi.org/10.1007/978-3-030-22660-2_1</w:t>
        </w:r>
      </w:hyperlink>
    </w:p>
    <w:p w14:paraId="4772DA80" w14:textId="42AE147E" w:rsidR="002D2EF3" w:rsidRPr="00D13B67" w:rsidRDefault="002D2EF3" w:rsidP="00305C0E">
      <w:pPr>
        <w:pStyle w:val="Reference"/>
        <w:rPr>
          <w:rFonts w:ascii="Segoe UI" w:hAnsi="Segoe UI"/>
          <w:sz w:val="18"/>
          <w:szCs w:val="18"/>
        </w:rPr>
      </w:pPr>
      <w:proofErr w:type="spellStart"/>
      <w:r w:rsidRPr="00D13B67">
        <w:t>Fovet</w:t>
      </w:r>
      <w:proofErr w:type="spellEnd"/>
      <w:r w:rsidRPr="00D13B67">
        <w:t xml:space="preserve">, F. (2020). </w:t>
      </w:r>
      <w:r w:rsidR="000D759B">
        <w:t>U</w:t>
      </w:r>
      <w:r w:rsidR="000D759B" w:rsidRPr="00D13B67">
        <w:t>niversal design for learning as a tool for inclusion in the higher education classroom: tips for the next decade of implementation. </w:t>
      </w:r>
      <w:r w:rsidRPr="00D13B67">
        <w:rPr>
          <w:i/>
          <w:iCs/>
        </w:rPr>
        <w:t>Education Journal, 9</w:t>
      </w:r>
      <w:r w:rsidRPr="00D13B67">
        <w:t>, 163–172. </w:t>
      </w:r>
      <w:hyperlink r:id="rId80" w:tgtFrame="_blank" w:history="1">
        <w:r w:rsidRPr="00D13B67">
          <w:rPr>
            <w:color w:val="467886"/>
            <w:u w:val="single"/>
          </w:rPr>
          <w:t>https://doi.org/10.11648/j.edu.20200906.13</w:t>
        </w:r>
      </w:hyperlink>
      <w:r w:rsidRPr="00D13B67">
        <w:rPr>
          <w:rFonts w:eastAsia="Times New Roman"/>
        </w:rPr>
        <w:t> </w:t>
      </w:r>
    </w:p>
    <w:p w14:paraId="335D8692" w14:textId="62C88CF1" w:rsidR="002D2EF3" w:rsidRPr="00D13B67" w:rsidRDefault="002D2EF3" w:rsidP="00305C0E">
      <w:pPr>
        <w:pStyle w:val="Reference"/>
        <w:rPr>
          <w:rFonts w:ascii="Segoe UI" w:hAnsi="Segoe UI"/>
          <w:sz w:val="18"/>
          <w:szCs w:val="18"/>
        </w:rPr>
      </w:pPr>
      <w:proofErr w:type="spellStart"/>
      <w:r w:rsidRPr="00D13B67">
        <w:t>Fovet</w:t>
      </w:r>
      <w:proofErr w:type="spellEnd"/>
      <w:r w:rsidRPr="00D13B67">
        <w:t>, F., &amp; Houghton, M. (2012). Reframing Disability, reshaping the provision of services. </w:t>
      </w:r>
      <w:r w:rsidRPr="00D13B67">
        <w:rPr>
          <w:i/>
          <w:iCs/>
        </w:rPr>
        <w:t>Communiqué, 13</w:t>
      </w:r>
      <w:r w:rsidRPr="00D13B67">
        <w:t>, 16–19.</w:t>
      </w:r>
      <w:r w:rsidRPr="00D13B67">
        <w:rPr>
          <w:rFonts w:eastAsia="Times New Roman"/>
        </w:rPr>
        <w:t> </w:t>
      </w:r>
    </w:p>
    <w:p w14:paraId="5C17315F" w14:textId="09C361B1" w:rsidR="0062669E" w:rsidRPr="00D13B67" w:rsidRDefault="0062669E" w:rsidP="00305C0E">
      <w:pPr>
        <w:pStyle w:val="Reference"/>
      </w:pPr>
      <w:proofErr w:type="spellStart"/>
      <w:r w:rsidRPr="00D13B67">
        <w:t>Fovet</w:t>
      </w:r>
      <w:proofErr w:type="spellEnd"/>
      <w:r w:rsidRPr="00D13B67">
        <w:t xml:space="preserve">, F., &amp; Mole, H. (2013). UDL - </w:t>
      </w:r>
      <w:r w:rsidR="00C2233A" w:rsidRPr="00D13B67">
        <w:t>from disabilities office</w:t>
      </w:r>
      <w:r w:rsidRPr="00D13B67">
        <w:t xml:space="preserve"> to </w:t>
      </w:r>
      <w:r w:rsidR="00C2233A" w:rsidRPr="00D13B67">
        <w:t>mainstream class</w:t>
      </w:r>
      <w:r w:rsidRPr="00D13B67">
        <w:t xml:space="preserve">: How the </w:t>
      </w:r>
      <w:r w:rsidR="00C2233A" w:rsidRPr="00D13B67">
        <w:t>tools</w:t>
      </w:r>
      <w:r w:rsidRPr="00D13B67">
        <w:t xml:space="preserve"> of a </w:t>
      </w:r>
      <w:r w:rsidR="00C2233A" w:rsidRPr="00D13B67">
        <w:t>minority</w:t>
      </w:r>
      <w:r w:rsidRPr="00D13B67">
        <w:t xml:space="preserve"> are </w:t>
      </w:r>
      <w:r w:rsidR="00C2233A" w:rsidRPr="00D13B67">
        <w:t>addressing</w:t>
      </w:r>
      <w:r w:rsidRPr="00D13B67">
        <w:t xml:space="preserve"> the </w:t>
      </w:r>
      <w:r w:rsidR="00C2233A" w:rsidRPr="00D13B67">
        <w:t>aspirations</w:t>
      </w:r>
      <w:r w:rsidRPr="00D13B67">
        <w:t xml:space="preserve"> of the </w:t>
      </w:r>
      <w:r w:rsidR="00C2233A" w:rsidRPr="00D13B67">
        <w:t>student body</w:t>
      </w:r>
      <w:r w:rsidRPr="00D13B67">
        <w:t xml:space="preserve"> at </w:t>
      </w:r>
      <w:r w:rsidR="00C2233A" w:rsidRPr="00D13B67">
        <w:t>large.</w:t>
      </w:r>
      <w:r w:rsidRPr="00D13B67">
        <w:t xml:space="preserve"> </w:t>
      </w:r>
      <w:r w:rsidRPr="00D13B67">
        <w:rPr>
          <w:i/>
          <w:iCs/>
        </w:rPr>
        <w:t>Collected Essays on Learning and Teaching</w:t>
      </w:r>
      <w:r w:rsidRPr="00D13B67">
        <w:t xml:space="preserve">, </w:t>
      </w:r>
      <w:r w:rsidRPr="00D13B67">
        <w:rPr>
          <w:i/>
          <w:iCs/>
        </w:rPr>
        <w:t>6</w:t>
      </w:r>
      <w:r w:rsidRPr="00D13B67">
        <w:t xml:space="preserve">, 121–126. </w:t>
      </w:r>
      <w:hyperlink r:id="rId81" w:history="1">
        <w:r w:rsidRPr="00D13B67">
          <w:rPr>
            <w:rStyle w:val="Hyperlink"/>
          </w:rPr>
          <w:t>https://doi.org/10.22329/celt.v6i0.3762</w:t>
        </w:r>
      </w:hyperlink>
    </w:p>
    <w:p w14:paraId="46455229" w14:textId="5B860BB0" w:rsidR="0062669E" w:rsidRPr="00D13B67" w:rsidRDefault="0062669E" w:rsidP="00305C0E">
      <w:pPr>
        <w:pStyle w:val="Reference"/>
      </w:pPr>
      <w:r w:rsidRPr="00D13B67">
        <w:t xml:space="preserve">Freeman, D. (2015). Ableism and the </w:t>
      </w:r>
      <w:r w:rsidR="00C2233A" w:rsidRPr="00D13B67">
        <w:t>academy</w:t>
      </w:r>
      <w:r w:rsidRPr="00D13B67">
        <w:t xml:space="preserve">: What </w:t>
      </w:r>
      <w:r w:rsidR="00C2233A" w:rsidRPr="00D13B67">
        <w:t>college has taught me about my disabled body</w:t>
      </w:r>
      <w:r w:rsidRPr="00D13B67">
        <w:t xml:space="preserve">. </w:t>
      </w:r>
      <w:r w:rsidRPr="00D13B67">
        <w:rPr>
          <w:i/>
          <w:iCs/>
        </w:rPr>
        <w:t>Model View Culture</w:t>
      </w:r>
      <w:r w:rsidRPr="00D13B67">
        <w:t xml:space="preserve">. </w:t>
      </w:r>
      <w:hyperlink r:id="rId82" w:history="1">
        <w:r w:rsidRPr="00D13B67">
          <w:rPr>
            <w:rStyle w:val="Hyperlink"/>
          </w:rPr>
          <w:t>https://modelviewculture.com/pieces/ableism-and-the-academy-what-college-has-taught-me-about-my-disabled-body</w:t>
        </w:r>
      </w:hyperlink>
    </w:p>
    <w:p w14:paraId="5A817FA0" w14:textId="77777777" w:rsidR="009F3B59" w:rsidRPr="00D13B67" w:rsidRDefault="009F3B59" w:rsidP="00305C0E">
      <w:pPr>
        <w:pStyle w:val="Reference"/>
      </w:pPr>
      <w:proofErr w:type="spellStart"/>
      <w:r w:rsidRPr="00D13B67">
        <w:t>Furrie</w:t>
      </w:r>
      <w:proofErr w:type="spellEnd"/>
      <w:r w:rsidRPr="00D13B67">
        <w:t>, A. D. (2017). Post-secondary students with disabilities: Their experience – past and present final report.</w:t>
      </w:r>
      <w:r w:rsidR="00484803" w:rsidRPr="00D13B67">
        <w:t xml:space="preserve"> </w:t>
      </w:r>
      <w:r w:rsidR="00484803" w:rsidRPr="00D13B67">
        <w:rPr>
          <w:i/>
        </w:rPr>
        <w:t>National Education Association of Disabled Students</w:t>
      </w:r>
      <w:r w:rsidR="00484803" w:rsidRPr="00D13B67">
        <w:t>.</w:t>
      </w:r>
    </w:p>
    <w:p w14:paraId="3E332039" w14:textId="75AF2C2E" w:rsidR="00F1617B" w:rsidRPr="00D13B67" w:rsidRDefault="00F1617B" w:rsidP="00305C0E">
      <w:pPr>
        <w:pStyle w:val="Reference"/>
      </w:pPr>
      <w:r w:rsidRPr="00D13B67">
        <w:t xml:space="preserve">Gelber, S. M. (2025). From </w:t>
      </w:r>
      <w:r w:rsidR="00C2233A" w:rsidRPr="00D13B67">
        <w:t>compensation</w:t>
      </w:r>
      <w:r w:rsidRPr="00D13B67">
        <w:t xml:space="preserve"> to </w:t>
      </w:r>
      <w:r w:rsidR="00C2233A" w:rsidRPr="00D13B67">
        <w:t>accommodation</w:t>
      </w:r>
      <w:r w:rsidRPr="00D13B67">
        <w:t xml:space="preserve">: The </w:t>
      </w:r>
      <w:r w:rsidR="00C2233A" w:rsidRPr="00D13B67">
        <w:t>history of learning disabilities</w:t>
      </w:r>
      <w:r w:rsidRPr="00D13B67">
        <w:t xml:space="preserve"> in American </w:t>
      </w:r>
      <w:r w:rsidR="00C2233A" w:rsidRPr="00D13B67">
        <w:t>higher education</w:t>
      </w:r>
      <w:r w:rsidRPr="00D13B67">
        <w:t xml:space="preserve">. </w:t>
      </w:r>
      <w:r w:rsidRPr="00D13B67">
        <w:rPr>
          <w:i/>
          <w:iCs/>
        </w:rPr>
        <w:t>History of Education Quarterly</w:t>
      </w:r>
      <w:r w:rsidRPr="00D13B67">
        <w:t xml:space="preserve">, </w:t>
      </w:r>
      <w:r w:rsidRPr="00D13B67">
        <w:rPr>
          <w:i/>
          <w:iCs/>
        </w:rPr>
        <w:t>65</w:t>
      </w:r>
      <w:r w:rsidRPr="00D13B67">
        <w:t xml:space="preserve">(1), 8–28. </w:t>
      </w:r>
      <w:hyperlink r:id="rId83" w:history="1">
        <w:r w:rsidRPr="00D13B67">
          <w:rPr>
            <w:rStyle w:val="Hyperlink"/>
          </w:rPr>
          <w:t>https://doi.org/10.1017/heq.2024.16</w:t>
        </w:r>
      </w:hyperlink>
    </w:p>
    <w:p w14:paraId="12DE127E" w14:textId="5D75DDB0" w:rsidR="00D60ADA" w:rsidRPr="00D13B67" w:rsidRDefault="00D60ADA" w:rsidP="00305C0E">
      <w:pPr>
        <w:pStyle w:val="Reference"/>
      </w:pPr>
      <w:r w:rsidRPr="00D13B67">
        <w:t xml:space="preserve">Gifford, M. (2024). The 2024 </w:t>
      </w:r>
      <w:r w:rsidR="00C2233A" w:rsidRPr="00D13B67">
        <w:t>web almanac</w:t>
      </w:r>
      <w:r w:rsidRPr="00D13B67">
        <w:t xml:space="preserve">: Accessibility. </w:t>
      </w:r>
      <w:r w:rsidRPr="00D13B67">
        <w:rPr>
          <w:i/>
        </w:rPr>
        <w:t>HTTP Archive</w:t>
      </w:r>
      <w:r w:rsidRPr="00D13B67">
        <w:t xml:space="preserve">. </w:t>
      </w:r>
      <w:hyperlink r:id="rId84" w:history="1">
        <w:r w:rsidR="00E533DF" w:rsidRPr="00D13B67">
          <w:rPr>
            <w:rStyle w:val="Hyperlink"/>
          </w:rPr>
          <w:t>https://almanac.httparchive.org/en/2024/accessibility</w:t>
        </w:r>
      </w:hyperlink>
    </w:p>
    <w:p w14:paraId="125E2DF3" w14:textId="1758F470" w:rsidR="00E533DF" w:rsidRPr="00D13B67" w:rsidRDefault="00E533DF" w:rsidP="00305C0E">
      <w:pPr>
        <w:pStyle w:val="Reference"/>
      </w:pPr>
      <w:r w:rsidRPr="00D13B67">
        <w:t>Government of British Columbia</w:t>
      </w:r>
      <w:r w:rsidR="0004067D" w:rsidRPr="00D13B67">
        <w:t xml:space="preserve"> (2021)</w:t>
      </w:r>
      <w:r w:rsidRPr="00D13B67">
        <w:t xml:space="preserve">. </w:t>
      </w:r>
      <w:r w:rsidRPr="00D13B67">
        <w:rPr>
          <w:i/>
          <w:iCs/>
        </w:rPr>
        <w:t>Accessible British Columbia Act</w:t>
      </w:r>
      <w:r w:rsidRPr="00D13B67">
        <w:t xml:space="preserve">, SBC 2021 (2021). </w:t>
      </w:r>
      <w:hyperlink r:id="rId85" w:history="1">
        <w:r w:rsidRPr="00D13B67">
          <w:rPr>
            <w:rStyle w:val="Hyperlink"/>
          </w:rPr>
          <w:t>https://www.bclaws.gov.bc.ca/civix/document/id/complete/statreg/21019</w:t>
        </w:r>
      </w:hyperlink>
    </w:p>
    <w:p w14:paraId="34E3631D" w14:textId="6A1DACAB" w:rsidR="00E533DF" w:rsidRPr="00D13B67" w:rsidRDefault="00E533DF" w:rsidP="00305C0E">
      <w:pPr>
        <w:pStyle w:val="Reference"/>
      </w:pPr>
      <w:r w:rsidRPr="00D13B67">
        <w:t>Government of Canada</w:t>
      </w:r>
      <w:r w:rsidR="0004067D" w:rsidRPr="00D13B67">
        <w:t xml:space="preserve"> (2019)</w:t>
      </w:r>
      <w:r w:rsidRPr="00D13B67">
        <w:t>.</w:t>
      </w:r>
      <w:r w:rsidRPr="00D13B67">
        <w:rPr>
          <w:i/>
          <w:iCs/>
        </w:rPr>
        <w:t xml:space="preserve"> Accessible Canada Act,</w:t>
      </w:r>
      <w:r w:rsidRPr="00D13B67">
        <w:t xml:space="preserve"> S.C. 2019, c. 10. </w:t>
      </w:r>
      <w:hyperlink r:id="rId86" w:history="1">
        <w:r w:rsidRPr="00D13B67">
          <w:rPr>
            <w:rStyle w:val="Hyperlink"/>
          </w:rPr>
          <w:t>https://laws-lois.justice.gc.ca/eng/acts/a-0.6/</w:t>
        </w:r>
      </w:hyperlink>
    </w:p>
    <w:p w14:paraId="24D8A778" w14:textId="04A8E017" w:rsidR="00E533DF" w:rsidRPr="00D13B67" w:rsidRDefault="00E533DF" w:rsidP="00305C0E">
      <w:pPr>
        <w:pStyle w:val="Reference"/>
      </w:pPr>
      <w:r w:rsidRPr="00D13B67">
        <w:t>Government of Ontario</w:t>
      </w:r>
      <w:r w:rsidR="0004067D" w:rsidRPr="00D13B67">
        <w:t xml:space="preserve"> (2005)</w:t>
      </w:r>
      <w:r w:rsidRPr="00D13B67">
        <w:t xml:space="preserve">. </w:t>
      </w:r>
      <w:r w:rsidRPr="00D13B67">
        <w:rPr>
          <w:i/>
          <w:iCs/>
        </w:rPr>
        <w:t>Accessibility for Ontarians with Disabilities Act</w:t>
      </w:r>
      <w:r w:rsidRPr="00D13B67">
        <w:t xml:space="preserve">, S.O. 2005, c. 11 (2005). </w:t>
      </w:r>
      <w:hyperlink r:id="rId87" w:history="1">
        <w:r w:rsidRPr="00D13B67">
          <w:rPr>
            <w:rStyle w:val="Hyperlink"/>
          </w:rPr>
          <w:t>https://www.ontario.ca/laws/statute/05a11</w:t>
        </w:r>
      </w:hyperlink>
    </w:p>
    <w:p w14:paraId="7CE479B7" w14:textId="2162C76A" w:rsidR="00144E24" w:rsidRPr="00D13B67" w:rsidRDefault="00144E24" w:rsidP="00305C0E">
      <w:pPr>
        <w:pStyle w:val="Reference"/>
      </w:pPr>
      <w:r w:rsidRPr="00D13B67">
        <w:lastRenderedPageBreak/>
        <w:t>Government of Ontario</w:t>
      </w:r>
      <w:r w:rsidR="0004067D" w:rsidRPr="00D13B67">
        <w:t xml:space="preserve"> (2020)</w:t>
      </w:r>
      <w:r w:rsidRPr="00D13B67">
        <w:t xml:space="preserve">. </w:t>
      </w:r>
      <w:r w:rsidRPr="00D13B67">
        <w:rPr>
          <w:i/>
          <w:iCs/>
        </w:rPr>
        <w:t xml:space="preserve">Review of the Information and Communications Standards: 2020 final recommendations report. </w:t>
      </w:r>
      <w:hyperlink r:id="rId88" w:history="1">
        <w:r w:rsidR="0090775F" w:rsidRPr="00D13B67">
          <w:rPr>
            <w:rStyle w:val="Hyperlink"/>
          </w:rPr>
          <w:t>http://www.ontario.ca/page/review-information-and-communications-standards-2020-final-recommendations-report</w:t>
        </w:r>
      </w:hyperlink>
    </w:p>
    <w:p w14:paraId="39D97B1B" w14:textId="355D65BC" w:rsidR="00F779AA" w:rsidRPr="00D13B67" w:rsidRDefault="00144E24" w:rsidP="00305C0E">
      <w:pPr>
        <w:pStyle w:val="Reference"/>
      </w:pPr>
      <w:r w:rsidRPr="00D13B67">
        <w:t xml:space="preserve">Government of Ontario. (2022, April 22). </w:t>
      </w:r>
      <w:r w:rsidRPr="00D13B67">
        <w:rPr>
          <w:i/>
          <w:iCs/>
        </w:rPr>
        <w:t xml:space="preserve">Development of proposed postsecondary education standards—Final recommendations report 2022. </w:t>
      </w:r>
      <w:hyperlink r:id="rId89" w:history="1">
        <w:r w:rsidRPr="00D13B67">
          <w:rPr>
            <w:rStyle w:val="Hyperlink"/>
          </w:rPr>
          <w:t>http://www.ontario.ca/page/development-proposed-postsecondary-education-standards-final-recommendations-report-2022</w:t>
        </w:r>
      </w:hyperlink>
    </w:p>
    <w:p w14:paraId="39094E34" w14:textId="7144FD9E" w:rsidR="00F1617B" w:rsidRPr="00D13B67" w:rsidRDefault="00F1617B" w:rsidP="00305C0E">
      <w:pPr>
        <w:pStyle w:val="Reference"/>
      </w:pPr>
      <w:r w:rsidRPr="00D13B67">
        <w:t xml:space="preserve">Grant, A. (2023, September 20). Opinion | </w:t>
      </w:r>
      <w:r w:rsidR="00C2233A" w:rsidRPr="00D13B67">
        <w:t>the</w:t>
      </w:r>
      <w:r w:rsidRPr="00D13B67">
        <w:t xml:space="preserve"> SATs </w:t>
      </w:r>
      <w:r w:rsidR="00C2233A" w:rsidRPr="00D13B67">
        <w:t>will be different next year</w:t>
      </w:r>
      <w:r w:rsidRPr="00D13B67">
        <w:t xml:space="preserve">, and </w:t>
      </w:r>
      <w:r w:rsidR="00C2233A" w:rsidRPr="00D13B67">
        <w:t>that could be</w:t>
      </w:r>
      <w:r w:rsidRPr="00D13B67">
        <w:t xml:space="preserve"> a </w:t>
      </w:r>
      <w:proofErr w:type="gramStart"/>
      <w:r w:rsidR="00C2233A" w:rsidRPr="00D13B67">
        <w:t>game-changer</w:t>
      </w:r>
      <w:proofErr w:type="gramEnd"/>
      <w:r w:rsidRPr="00D13B67">
        <w:t xml:space="preserve">. </w:t>
      </w:r>
      <w:r w:rsidRPr="00D13B67">
        <w:rPr>
          <w:i/>
          <w:iCs/>
        </w:rPr>
        <w:t>The New York Times</w:t>
      </w:r>
      <w:r w:rsidRPr="00D13B67">
        <w:t xml:space="preserve">. </w:t>
      </w:r>
      <w:hyperlink r:id="rId90" w:history="1">
        <w:r w:rsidRPr="00D13B67">
          <w:rPr>
            <w:rStyle w:val="Hyperlink"/>
          </w:rPr>
          <w:t>https://www.nytimes.com/2023/09/20/opinion/culture/timed-tests-biased-kids.html</w:t>
        </w:r>
      </w:hyperlink>
    </w:p>
    <w:p w14:paraId="213E2082" w14:textId="77777777" w:rsidR="6487E7C7" w:rsidRPr="00D13B67" w:rsidRDefault="6487E7C7" w:rsidP="00305C0E">
      <w:pPr>
        <w:pStyle w:val="Reference"/>
      </w:pPr>
      <w:r w:rsidRPr="00D13B67">
        <w:t xml:space="preserve">Grech, L. B., Koller, D., &amp; Olley, A. (2023). Furthering the person-first versus identity-first language debate. </w:t>
      </w:r>
      <w:r w:rsidRPr="00D13B67">
        <w:rPr>
          <w:i/>
          <w:iCs/>
        </w:rPr>
        <w:t>Australian Psychologist, 58</w:t>
      </w:r>
      <w:r w:rsidRPr="00D13B67">
        <w:t xml:space="preserve">(4), 223–232. </w:t>
      </w:r>
      <w:hyperlink r:id="rId91">
        <w:r w:rsidRPr="00D13B67">
          <w:rPr>
            <w:rStyle w:val="Hyperlink"/>
          </w:rPr>
          <w:t>https://doi.org/10.1080/00050067.2023.2192863</w:t>
        </w:r>
      </w:hyperlink>
    </w:p>
    <w:p w14:paraId="2F697FC2" w14:textId="2FF6BC00" w:rsidR="6487E7C7" w:rsidRPr="00D13B67" w:rsidRDefault="6487E7C7" w:rsidP="00305C0E">
      <w:pPr>
        <w:pStyle w:val="Reference"/>
      </w:pPr>
      <w:r w:rsidRPr="00D13B67">
        <w:t>Grech, L. B., Koller, D., &amp; Olley, A. (2024). Person-first and identity-first disability language: Informing client centred care. S</w:t>
      </w:r>
      <w:r w:rsidRPr="00D13B67">
        <w:rPr>
          <w:i/>
          <w:iCs/>
        </w:rPr>
        <w:t>ocial Science &amp; Medicine, 362</w:t>
      </w:r>
      <w:r w:rsidRPr="00D13B67">
        <w:t xml:space="preserve">, 117444. </w:t>
      </w:r>
      <w:hyperlink r:id="rId92">
        <w:r w:rsidRPr="00D13B67">
          <w:rPr>
            <w:rStyle w:val="Hyperlink"/>
          </w:rPr>
          <w:t>https://doi.org/10.1016/j.socscimed.2024.117444</w:t>
        </w:r>
      </w:hyperlink>
    </w:p>
    <w:p w14:paraId="7E5C2D3F" w14:textId="44D37C30" w:rsidR="005D130F" w:rsidRPr="00D13B67" w:rsidRDefault="005D130F" w:rsidP="00305C0E">
      <w:pPr>
        <w:pStyle w:val="Reference"/>
      </w:pPr>
      <w:r w:rsidRPr="00D13B67">
        <w:t xml:space="preserve">Greve, F. (2007, January 31). Curb ramps liberate Americans with disabilities—And everyone else. </w:t>
      </w:r>
      <w:r w:rsidRPr="00D13B67">
        <w:rPr>
          <w:i/>
        </w:rPr>
        <w:t>McClatchy Washington Bureau</w:t>
      </w:r>
      <w:r w:rsidRPr="00D13B67">
        <w:t xml:space="preserve">. </w:t>
      </w:r>
      <w:hyperlink r:id="rId93" w:history="1">
        <w:r w:rsidRPr="00D13B67">
          <w:rPr>
            <w:rStyle w:val="Hyperlink"/>
          </w:rPr>
          <w:t>https://www.mcclatchydc.com/news/article24460762.html</w:t>
        </w:r>
      </w:hyperlink>
    </w:p>
    <w:p w14:paraId="212FB0AD" w14:textId="23050109" w:rsidR="00350E8F" w:rsidRPr="00D13B67" w:rsidRDefault="00910728" w:rsidP="00305C0E">
      <w:pPr>
        <w:pStyle w:val="Reference"/>
      </w:pPr>
      <w:r w:rsidRPr="00D13B67">
        <w:t xml:space="preserve">Grundy, S. (1987). </w:t>
      </w:r>
      <w:r w:rsidRPr="00D13B67">
        <w:rPr>
          <w:i/>
          <w:iCs/>
        </w:rPr>
        <w:t>Curriculum: Product or praxis?</w:t>
      </w:r>
      <w:r w:rsidRPr="00D13B67">
        <w:t xml:space="preserve"> Falmer Press.</w:t>
      </w:r>
    </w:p>
    <w:p w14:paraId="25BFAAD6" w14:textId="48B0823D" w:rsidR="002B509E" w:rsidRPr="00D13B67" w:rsidRDefault="002B509E" w:rsidP="00305C0E">
      <w:pPr>
        <w:pStyle w:val="Reference"/>
      </w:pPr>
      <w:r w:rsidRPr="00D13B67">
        <w:t xml:space="preserve">Guilbaud, T. C., Martin, F., &amp; Newton, X. (2021). Faculty </w:t>
      </w:r>
      <w:r w:rsidR="00C2233A" w:rsidRPr="00D13B67">
        <w:t>perceptions</w:t>
      </w:r>
      <w:r w:rsidRPr="00D13B67">
        <w:t xml:space="preserve"> on </w:t>
      </w:r>
      <w:r w:rsidR="00C2233A" w:rsidRPr="00D13B67">
        <w:t>accessibility</w:t>
      </w:r>
      <w:r w:rsidRPr="00D13B67">
        <w:t xml:space="preserve"> in </w:t>
      </w:r>
      <w:r w:rsidR="00C2233A" w:rsidRPr="00D13B67">
        <w:t>online learning: knowledge, practice</w:t>
      </w:r>
      <w:r w:rsidRPr="00D13B67">
        <w:t xml:space="preserve"> and </w:t>
      </w:r>
      <w:r w:rsidR="00C2233A" w:rsidRPr="00D13B67">
        <w:t>professional development</w:t>
      </w:r>
      <w:r w:rsidRPr="00D13B67">
        <w:t xml:space="preserve">. </w:t>
      </w:r>
      <w:r w:rsidRPr="00D13B67">
        <w:rPr>
          <w:i/>
          <w:iCs/>
        </w:rPr>
        <w:t>Online Learning, 25</w:t>
      </w:r>
      <w:r w:rsidRPr="00D13B67">
        <w:t xml:space="preserve">(2). </w:t>
      </w:r>
      <w:hyperlink r:id="rId94" w:history="1">
        <w:r w:rsidRPr="00D13B67">
          <w:rPr>
            <w:rStyle w:val="Hyperlink"/>
          </w:rPr>
          <w:t>https://doi.org/10.24059/olj.v25i2.2233</w:t>
        </w:r>
      </w:hyperlink>
    </w:p>
    <w:p w14:paraId="3B685888" w14:textId="02481AF1" w:rsidR="004C07D8" w:rsidRPr="00D13B67" w:rsidRDefault="004C34B0" w:rsidP="00305C0E">
      <w:pPr>
        <w:pStyle w:val="Reference"/>
      </w:pPr>
      <w:r w:rsidRPr="00D13B67">
        <w:t xml:space="preserve">Hahn, H. (1987). Advertising the </w:t>
      </w:r>
      <w:r w:rsidR="00C2233A" w:rsidRPr="00D13B67">
        <w:t>acceptably employable image: disability</w:t>
      </w:r>
      <w:r w:rsidRPr="00D13B67">
        <w:t xml:space="preserve"> and </w:t>
      </w:r>
      <w:r w:rsidR="00C2233A" w:rsidRPr="00D13B67">
        <w:t>capitalism</w:t>
      </w:r>
      <w:r w:rsidRPr="00D13B67">
        <w:t xml:space="preserve">. </w:t>
      </w:r>
      <w:r w:rsidRPr="00D13B67">
        <w:rPr>
          <w:i/>
          <w:iCs/>
        </w:rPr>
        <w:t>Policy Studies Journal</w:t>
      </w:r>
      <w:r w:rsidRPr="00D13B67">
        <w:t xml:space="preserve">, </w:t>
      </w:r>
      <w:r w:rsidRPr="00D13B67">
        <w:rPr>
          <w:i/>
          <w:iCs/>
        </w:rPr>
        <w:t>15</w:t>
      </w:r>
      <w:r w:rsidRPr="00D13B67">
        <w:t>(3), 551–570.</w:t>
      </w:r>
    </w:p>
    <w:p w14:paraId="3C86D2A4" w14:textId="24C9B4D4" w:rsidR="002D6790" w:rsidRPr="00D13B67" w:rsidRDefault="002D6790" w:rsidP="00305C0E">
      <w:pPr>
        <w:pStyle w:val="Reference"/>
      </w:pPr>
      <w:r w:rsidRPr="00D13B67">
        <w:t xml:space="preserve">Hayes, G. R. (2011). The relationship of action research to human-computer interaction. </w:t>
      </w:r>
      <w:r w:rsidRPr="00D13B67">
        <w:rPr>
          <w:i/>
          <w:iCs/>
        </w:rPr>
        <w:t xml:space="preserve">ACM Trans. </w:t>
      </w:r>
      <w:proofErr w:type="spellStart"/>
      <w:proofErr w:type="gramStart"/>
      <w:r w:rsidRPr="00D13B67">
        <w:rPr>
          <w:i/>
          <w:iCs/>
        </w:rPr>
        <w:t>Comput</w:t>
      </w:r>
      <w:proofErr w:type="spellEnd"/>
      <w:r w:rsidRPr="00D13B67">
        <w:rPr>
          <w:i/>
          <w:iCs/>
        </w:rPr>
        <w:t>.-</w:t>
      </w:r>
      <w:proofErr w:type="gramEnd"/>
      <w:r w:rsidRPr="00D13B67">
        <w:rPr>
          <w:i/>
          <w:iCs/>
        </w:rPr>
        <w:t>Hum. Interact.</w:t>
      </w:r>
      <w:r w:rsidRPr="00D13B67">
        <w:t xml:space="preserve">, </w:t>
      </w:r>
      <w:r w:rsidRPr="00D13B67">
        <w:rPr>
          <w:i/>
          <w:iCs/>
        </w:rPr>
        <w:t>18</w:t>
      </w:r>
      <w:r w:rsidRPr="00D13B67">
        <w:t xml:space="preserve">(3), 15:1-15:20. </w:t>
      </w:r>
      <w:hyperlink r:id="rId95" w:history="1">
        <w:r w:rsidRPr="00D13B67">
          <w:rPr>
            <w:rStyle w:val="Hyperlink"/>
          </w:rPr>
          <w:t>https://doi.org/10.1145/1993060.1993065</w:t>
        </w:r>
      </w:hyperlink>
    </w:p>
    <w:p w14:paraId="18329477" w14:textId="7964B3B2" w:rsidR="00EA19D8" w:rsidRPr="00D13B67" w:rsidRDefault="00EA19D8" w:rsidP="00305C0E">
      <w:pPr>
        <w:pStyle w:val="Reference"/>
      </w:pPr>
      <w:r w:rsidRPr="00D13B67">
        <w:lastRenderedPageBreak/>
        <w:t xml:space="preserve">Hayward, A., Sjoblom, E., Sinclair, S., &amp; Cidro, J. (2021). </w:t>
      </w:r>
      <w:r w:rsidR="00C2233A" w:rsidRPr="00D13B67">
        <w:t>A new era</w:t>
      </w:r>
      <w:r w:rsidRPr="00D13B67">
        <w:t xml:space="preserve"> of Indigenous </w:t>
      </w:r>
      <w:r w:rsidR="00C2233A" w:rsidRPr="00D13B67">
        <w:t>research: community</w:t>
      </w:r>
      <w:r w:rsidRPr="00D13B67">
        <w:t xml:space="preserve">-based Indigenous </w:t>
      </w:r>
      <w:r w:rsidR="00C2233A" w:rsidRPr="00D13B67">
        <w:t>research ethics protocols in Canada</w:t>
      </w:r>
      <w:r w:rsidRPr="00D13B67">
        <w:t xml:space="preserve">. </w:t>
      </w:r>
      <w:r w:rsidRPr="00D13B67">
        <w:rPr>
          <w:i/>
          <w:iCs/>
        </w:rPr>
        <w:t>Journal of Empirical Research on Human Research Ethics</w:t>
      </w:r>
      <w:r w:rsidRPr="00D13B67">
        <w:t xml:space="preserve">, </w:t>
      </w:r>
      <w:r w:rsidRPr="00D13B67">
        <w:rPr>
          <w:i/>
          <w:iCs/>
        </w:rPr>
        <w:t>16</w:t>
      </w:r>
      <w:r w:rsidRPr="00D13B67">
        <w:t xml:space="preserve">(4), 403–417. </w:t>
      </w:r>
      <w:hyperlink r:id="rId96" w:history="1">
        <w:r w:rsidRPr="00D13B67">
          <w:rPr>
            <w:rStyle w:val="Hyperlink"/>
          </w:rPr>
          <w:t>https://doi.org/10.1177/15562646211023705</w:t>
        </w:r>
      </w:hyperlink>
    </w:p>
    <w:p w14:paraId="5303FEA8" w14:textId="630D184C" w:rsidR="00A07858" w:rsidRPr="00D13B67" w:rsidRDefault="00A07858" w:rsidP="00305C0E">
      <w:pPr>
        <w:pStyle w:val="Reference"/>
      </w:pPr>
      <w:r w:rsidRPr="00D13B67">
        <w:t xml:space="preserve">Hendren, S. (2018). All </w:t>
      </w:r>
      <w:r w:rsidR="00C2233A" w:rsidRPr="00D13B67">
        <w:t>technology is assistive</w:t>
      </w:r>
      <w:r w:rsidRPr="00D13B67">
        <w:t xml:space="preserve">: Six </w:t>
      </w:r>
      <w:r w:rsidR="00C2233A" w:rsidRPr="00D13B67">
        <w:t>design rules</w:t>
      </w:r>
      <w:r w:rsidRPr="00D13B67">
        <w:t xml:space="preserve"> on </w:t>
      </w:r>
      <w:r w:rsidR="00C2233A" w:rsidRPr="00D13B67">
        <w:t>disability</w:t>
      </w:r>
      <w:r w:rsidRPr="00D13B67">
        <w:t xml:space="preserve">. In S. Hendren &amp; J. Sayers, </w:t>
      </w:r>
      <w:r w:rsidRPr="00D13B67">
        <w:rPr>
          <w:i/>
        </w:rPr>
        <w:t>Making Things and Drawing Boundaries: Experiments in the Digital Humanities</w:t>
      </w:r>
      <w:r w:rsidRPr="00D13B67">
        <w:t xml:space="preserve"> (p. 139). University of Minnesota Press.</w:t>
      </w:r>
    </w:p>
    <w:p w14:paraId="6A7BD1E3" w14:textId="54632137" w:rsidR="00BE7C66" w:rsidRPr="00D13B67" w:rsidRDefault="00BE7C66" w:rsidP="00305C0E">
      <w:pPr>
        <w:pStyle w:val="Reference"/>
      </w:pPr>
      <w:r w:rsidRPr="00D13B67">
        <w:t xml:space="preserve">Hendriks, N., Slegers, K., &amp; </w:t>
      </w:r>
      <w:proofErr w:type="spellStart"/>
      <w:r w:rsidRPr="00D13B67">
        <w:t>Duysburgh</w:t>
      </w:r>
      <w:proofErr w:type="spellEnd"/>
      <w:r w:rsidRPr="00D13B67">
        <w:t xml:space="preserve">, P. (2015). Codesign with people living with cognitive or sensory impairments: A case for method stories and uniqueness. </w:t>
      </w:r>
      <w:proofErr w:type="spellStart"/>
      <w:r w:rsidRPr="00D13B67">
        <w:rPr>
          <w:i/>
          <w:iCs/>
        </w:rPr>
        <w:t>CoDesign</w:t>
      </w:r>
      <w:proofErr w:type="spellEnd"/>
      <w:r w:rsidRPr="00D13B67">
        <w:t xml:space="preserve">, </w:t>
      </w:r>
      <w:r w:rsidRPr="00D13B67">
        <w:rPr>
          <w:i/>
          <w:iCs/>
        </w:rPr>
        <w:t>11</w:t>
      </w:r>
      <w:r w:rsidRPr="00D13B67">
        <w:t xml:space="preserve">(1), 70–82. </w:t>
      </w:r>
      <w:hyperlink r:id="rId97" w:history="1">
        <w:r w:rsidRPr="00D13B67">
          <w:rPr>
            <w:rStyle w:val="Hyperlink"/>
          </w:rPr>
          <w:t>https://doi.org/10.1080/15710882.2015.1020316</w:t>
        </w:r>
      </w:hyperlink>
    </w:p>
    <w:p w14:paraId="6E47CFD2" w14:textId="767D8EA4" w:rsidR="009551CA" w:rsidRPr="00D13B67" w:rsidRDefault="009551CA" w:rsidP="00305C0E">
      <w:pPr>
        <w:pStyle w:val="Reference"/>
      </w:pPr>
      <w:r w:rsidRPr="00D13B67">
        <w:t xml:space="preserve">Heng, L. (2019). Negotiating the </w:t>
      </w:r>
      <w:r w:rsidR="00C2233A" w:rsidRPr="00D13B67">
        <w:t>space</w:t>
      </w:r>
      <w:r w:rsidRPr="00D13B67">
        <w:t xml:space="preserve"> of </w:t>
      </w:r>
      <w:r w:rsidR="00C2233A" w:rsidRPr="00D13B67">
        <w:t>academia</w:t>
      </w:r>
      <w:r w:rsidRPr="00D13B67">
        <w:t xml:space="preserve"> as a </w:t>
      </w:r>
      <w:r w:rsidR="00C2233A" w:rsidRPr="00D13B67">
        <w:t>disabled student</w:t>
      </w:r>
      <w:r w:rsidRPr="00D13B67">
        <w:t xml:space="preserve">. In C. McMaster, B. Whitburn, &amp; M. Oliver (Eds.), </w:t>
      </w:r>
      <w:r w:rsidRPr="00D13B67">
        <w:rPr>
          <w:i/>
          <w:iCs/>
        </w:rPr>
        <w:t>Disability and the university: A disabled students’ manifesto</w:t>
      </w:r>
      <w:r w:rsidRPr="00D13B67">
        <w:t xml:space="preserve"> (pp. 41–49). Peter Lang Publishing, Inc.</w:t>
      </w:r>
    </w:p>
    <w:p w14:paraId="5854C8E9" w14:textId="4CECA95A" w:rsidR="00BC444E" w:rsidRPr="00D13B67" w:rsidRDefault="00C36432" w:rsidP="00305C0E">
      <w:pPr>
        <w:pStyle w:val="Reference"/>
      </w:pPr>
      <w:r w:rsidRPr="00D13B67">
        <w:t xml:space="preserve">Holmes, K. (2018). Mismatch: How </w:t>
      </w:r>
      <w:r w:rsidR="00C2233A" w:rsidRPr="00D13B67">
        <w:rPr>
          <w:iCs/>
        </w:rPr>
        <w:t>inclusion shapes design</w:t>
      </w:r>
      <w:r w:rsidRPr="00D13B67">
        <w:t>. MIT Press.</w:t>
      </w:r>
    </w:p>
    <w:p w14:paraId="1215EB67" w14:textId="4E07DC4C" w:rsidR="00F1617B" w:rsidRPr="00D13B67" w:rsidRDefault="00F1617B" w:rsidP="00305C0E">
      <w:pPr>
        <w:pStyle w:val="Reference"/>
      </w:pPr>
      <w:proofErr w:type="spellStart"/>
      <w:r w:rsidRPr="00D13B67">
        <w:t>Horowitch</w:t>
      </w:r>
      <w:proofErr w:type="spellEnd"/>
      <w:r w:rsidRPr="00D13B67">
        <w:t xml:space="preserve">, R. (2025). Accommodation </w:t>
      </w:r>
      <w:r w:rsidR="00C2233A" w:rsidRPr="00D13B67">
        <w:t>n</w:t>
      </w:r>
      <w:r w:rsidRPr="00D13B67">
        <w:t xml:space="preserve">ation. </w:t>
      </w:r>
      <w:r w:rsidRPr="00D13B67">
        <w:rPr>
          <w:i/>
        </w:rPr>
        <w:t>The Atlantic</w:t>
      </w:r>
      <w:r w:rsidRPr="00D13B67">
        <w:t xml:space="preserve">. </w:t>
      </w:r>
      <w:hyperlink r:id="rId98" w:history="1">
        <w:r w:rsidRPr="00D13B67">
          <w:rPr>
            <w:rStyle w:val="Hyperlink"/>
          </w:rPr>
          <w:t>https://www.theatlantic.com/magazine/2026/01/elite-university-student-accommodation/684946/</w:t>
        </w:r>
      </w:hyperlink>
    </w:p>
    <w:p w14:paraId="43C215CC" w14:textId="79FE15BB" w:rsidR="00902B94" w:rsidRPr="00D13B67" w:rsidRDefault="00902B94" w:rsidP="00305C0E">
      <w:pPr>
        <w:pStyle w:val="Reference"/>
      </w:pPr>
      <w:r w:rsidRPr="00D13B67">
        <w:t xml:space="preserve">Hornstein, G. A. (2017, March 26). Why I Dread the Accommodations Talk. </w:t>
      </w:r>
      <w:r w:rsidRPr="00D13B67">
        <w:rPr>
          <w:i/>
          <w:iCs/>
        </w:rPr>
        <w:t>The Chronicle of Higher Education.</w:t>
      </w:r>
      <w:r w:rsidRPr="00D13B67">
        <w:t xml:space="preserve"> </w:t>
      </w:r>
      <w:hyperlink r:id="rId99" w:history="1">
        <w:r w:rsidRPr="00D13B67">
          <w:rPr>
            <w:rStyle w:val="Hyperlink"/>
          </w:rPr>
          <w:t>https://www.chronicle.com/article/why-i-dread-the-accommodations-talk/</w:t>
        </w:r>
      </w:hyperlink>
    </w:p>
    <w:p w14:paraId="11CBCB59" w14:textId="161A2FE2" w:rsidR="0031655F" w:rsidRPr="00D13B67" w:rsidRDefault="0031655F" w:rsidP="00305C0E">
      <w:pPr>
        <w:pStyle w:val="Reference"/>
      </w:pPr>
      <w:r w:rsidRPr="00D13B67">
        <w:t xml:space="preserve">Hosking, D. L. (2008). Critical </w:t>
      </w:r>
      <w:r w:rsidR="00C2233A" w:rsidRPr="00D13B67">
        <w:t>disability theory</w:t>
      </w:r>
      <w:r w:rsidRPr="00D13B67">
        <w:t xml:space="preserve">. </w:t>
      </w:r>
      <w:r w:rsidRPr="00D13B67">
        <w:rPr>
          <w:i/>
        </w:rPr>
        <w:t xml:space="preserve">4th Biennial Disability Studies Conference at Lancaster University. </w:t>
      </w:r>
      <w:hyperlink r:id="rId100" w:history="1">
        <w:r w:rsidRPr="00D13B67">
          <w:rPr>
            <w:rStyle w:val="Hyperlink"/>
          </w:rPr>
          <w:t>https://www.lancaster.ac.uk/fass/events/disabilityconference_archive/2008/papers/hosking2008.pdf</w:t>
        </w:r>
      </w:hyperlink>
    </w:p>
    <w:p w14:paraId="5F006ADA" w14:textId="75DD5D6A" w:rsidR="00E628D7" w:rsidRPr="00D13B67" w:rsidRDefault="00F32B59" w:rsidP="00305C0E">
      <w:pPr>
        <w:pStyle w:val="Reference"/>
      </w:pPr>
      <w:r w:rsidRPr="00D13B67">
        <w:t xml:space="preserve">Huss, J. A., &amp; Eastep, S. (2016). </w:t>
      </w:r>
      <w:r w:rsidR="00C2233A" w:rsidRPr="00D13B67">
        <w:t>Okay, our courses are online, but are they ADA compliant? An investigation</w:t>
      </w:r>
      <w:r w:rsidRPr="00D13B67">
        <w:t xml:space="preserve"> of </w:t>
      </w:r>
      <w:r w:rsidR="00C2233A" w:rsidRPr="00D13B67">
        <w:t>faculty awareness</w:t>
      </w:r>
      <w:r w:rsidRPr="00D13B67">
        <w:t xml:space="preserve"> of </w:t>
      </w:r>
      <w:r w:rsidR="00C2233A" w:rsidRPr="00D13B67">
        <w:t>accessibility</w:t>
      </w:r>
      <w:r w:rsidRPr="00D13B67">
        <w:t xml:space="preserve"> at a </w:t>
      </w:r>
      <w:r w:rsidR="00C2233A" w:rsidRPr="00D13B67">
        <w:t>midwestern u</w:t>
      </w:r>
      <w:r w:rsidRPr="00D13B67">
        <w:t xml:space="preserve">niversity. </w:t>
      </w:r>
      <w:r w:rsidRPr="00D13B67">
        <w:rPr>
          <w:i/>
          <w:iCs/>
        </w:rPr>
        <w:t>I.e.: Inquiry in Education</w:t>
      </w:r>
      <w:r w:rsidRPr="00D13B67">
        <w:t xml:space="preserve">, </w:t>
      </w:r>
      <w:r w:rsidRPr="00D13B67">
        <w:rPr>
          <w:i/>
          <w:iCs/>
        </w:rPr>
        <w:t>8</w:t>
      </w:r>
      <w:r w:rsidRPr="00D13B67">
        <w:t xml:space="preserve">(2). (EJ1171774). </w:t>
      </w:r>
      <w:hyperlink r:id="rId101" w:history="1">
        <w:r w:rsidR="00E628D7" w:rsidRPr="00D13B67">
          <w:rPr>
            <w:rStyle w:val="Hyperlink"/>
          </w:rPr>
          <w:t>https://eric.ed.gov/?id=EJ1171774</w:t>
        </w:r>
      </w:hyperlink>
    </w:p>
    <w:p w14:paraId="637C814B" w14:textId="770C6533" w:rsidR="00F32B59" w:rsidRPr="00D13B67" w:rsidRDefault="00F32B59" w:rsidP="00305C0E">
      <w:pPr>
        <w:pStyle w:val="Reference"/>
      </w:pPr>
      <w:r w:rsidRPr="00D13B67">
        <w:lastRenderedPageBreak/>
        <w:t xml:space="preserve">Iannuzzi, N., Manca, M., </w:t>
      </w:r>
      <w:proofErr w:type="spellStart"/>
      <w:r w:rsidRPr="00D13B67">
        <w:t>Paternò</w:t>
      </w:r>
      <w:proofErr w:type="spellEnd"/>
      <w:r w:rsidRPr="00D13B67">
        <w:t xml:space="preserve">, F., &amp; Santoro, C. (2025). Combined accessibility validation and monitoring of web sites and PDF documents. </w:t>
      </w:r>
      <w:r w:rsidRPr="00D13B67">
        <w:rPr>
          <w:i/>
          <w:iCs/>
        </w:rPr>
        <w:t>Universal Access in the Information Society</w:t>
      </w:r>
      <w:r w:rsidRPr="00D13B67">
        <w:t xml:space="preserve">. </w:t>
      </w:r>
      <w:hyperlink r:id="rId102" w:history="1">
        <w:r w:rsidRPr="00D13B67">
          <w:rPr>
            <w:rStyle w:val="Hyperlink"/>
          </w:rPr>
          <w:t>https://doi.org/10.1007/s10209-025-01194-7</w:t>
        </w:r>
      </w:hyperlink>
    </w:p>
    <w:p w14:paraId="38473E6F" w14:textId="4B15344C" w:rsidR="00215336" w:rsidRPr="00D13B67" w:rsidRDefault="00215336" w:rsidP="00305C0E">
      <w:pPr>
        <w:pStyle w:val="Reference"/>
      </w:pPr>
      <w:r w:rsidRPr="00D13B67">
        <w:t xml:space="preserve">Inal, Y., &amp; </w:t>
      </w:r>
      <w:proofErr w:type="spellStart"/>
      <w:r w:rsidRPr="00D13B67">
        <w:t>Torkildsby</w:t>
      </w:r>
      <w:proofErr w:type="spellEnd"/>
      <w:r w:rsidRPr="00D13B67">
        <w:t xml:space="preserve">, A. B. (2025). Does the law make a difference? A longitudinal study on accessibility compliance of Norwegian municipality websites. </w:t>
      </w:r>
      <w:r w:rsidRPr="00D13B67">
        <w:rPr>
          <w:i/>
          <w:iCs/>
        </w:rPr>
        <w:t>Universal Access in the Information Society</w:t>
      </w:r>
      <w:r w:rsidRPr="00D13B67">
        <w:t xml:space="preserve">. </w:t>
      </w:r>
      <w:hyperlink r:id="rId103" w:history="1">
        <w:r w:rsidRPr="00D13B67">
          <w:rPr>
            <w:rStyle w:val="Hyperlink"/>
          </w:rPr>
          <w:t>https://doi.org/10.1007/s10209-024-01183-2</w:t>
        </w:r>
      </w:hyperlink>
    </w:p>
    <w:p w14:paraId="79A86F15" w14:textId="519717F1" w:rsidR="00AD1BAE" w:rsidRPr="00D13B67" w:rsidRDefault="00AD1BAE" w:rsidP="00305C0E">
      <w:pPr>
        <w:pStyle w:val="Reference"/>
      </w:pPr>
      <w:proofErr w:type="spellStart"/>
      <w:r w:rsidRPr="00D13B67">
        <w:t>Inckle</w:t>
      </w:r>
      <w:proofErr w:type="spellEnd"/>
      <w:r w:rsidRPr="00D13B67">
        <w:t>, K., Brighton, J., &amp; Sparkes, A. C. (2023). Who is “</w:t>
      </w:r>
      <w:r w:rsidR="00C2233A" w:rsidRPr="00D13B67">
        <w:t>us</w:t>
      </w:r>
      <w:r w:rsidRPr="00D13B67">
        <w:t>” in “</w:t>
      </w:r>
      <w:r w:rsidR="00C2233A" w:rsidRPr="00D13B67">
        <w:t>nothing about us without us”?</w:t>
      </w:r>
      <w:r w:rsidRPr="00D13B67">
        <w:t xml:space="preserve"> Rethinking the </w:t>
      </w:r>
      <w:r w:rsidR="00C2233A" w:rsidRPr="00D13B67">
        <w:t>politics</w:t>
      </w:r>
      <w:r w:rsidRPr="00D13B67">
        <w:t xml:space="preserve"> of </w:t>
      </w:r>
      <w:r w:rsidR="00C2233A" w:rsidRPr="00D13B67">
        <w:t>disability research</w:t>
      </w:r>
      <w:r w:rsidRPr="00D13B67">
        <w:t xml:space="preserve">. </w:t>
      </w:r>
      <w:r w:rsidRPr="00D13B67">
        <w:rPr>
          <w:i/>
          <w:iCs/>
        </w:rPr>
        <w:t>Disability Studies Quarterly</w:t>
      </w:r>
      <w:r w:rsidRPr="00D13B67">
        <w:t xml:space="preserve">, </w:t>
      </w:r>
      <w:r w:rsidRPr="00D13B67">
        <w:rPr>
          <w:i/>
          <w:iCs/>
        </w:rPr>
        <w:t>42</w:t>
      </w:r>
      <w:r w:rsidRPr="00D13B67">
        <w:t xml:space="preserve">(3–4). Directory of Open Access Journals (edsdoj.85449bdd44b940698be79b740ff41f4d). </w:t>
      </w:r>
      <w:hyperlink r:id="rId104" w:history="1">
        <w:r w:rsidRPr="00D13B67">
          <w:rPr>
            <w:rStyle w:val="Hyperlink"/>
          </w:rPr>
          <w:t>https://doi.org/10.18061/dsq.v42i3-4.7947</w:t>
        </w:r>
      </w:hyperlink>
    </w:p>
    <w:p w14:paraId="3A8A6344" w14:textId="77777777" w:rsidR="00524020" w:rsidRPr="00D13B67" w:rsidRDefault="00524020" w:rsidP="00305C0E">
      <w:pPr>
        <w:pStyle w:val="Reference"/>
      </w:pPr>
      <w:r w:rsidRPr="00D13B67">
        <w:t xml:space="preserve">Inclusive Design Research Centre. (2016). </w:t>
      </w:r>
      <w:r w:rsidRPr="00D13B67">
        <w:rPr>
          <w:i/>
          <w:iCs/>
        </w:rPr>
        <w:t>The Inclusive Design Guide</w:t>
      </w:r>
      <w:r w:rsidRPr="00D13B67">
        <w:t xml:space="preserve">. </w:t>
      </w:r>
      <w:hyperlink r:id="rId105" w:history="1">
        <w:r w:rsidRPr="00D13B67">
          <w:rPr>
            <w:rStyle w:val="Hyperlink"/>
          </w:rPr>
          <w:t>https://guide.inclusivedesign.ca/insights/diverse-participation-and-perspectives/</w:t>
        </w:r>
      </w:hyperlink>
    </w:p>
    <w:p w14:paraId="6A0F0716" w14:textId="77777777" w:rsidR="00524020" w:rsidRPr="00D13B67" w:rsidRDefault="00524020" w:rsidP="00305C0E">
      <w:pPr>
        <w:pStyle w:val="Reference"/>
      </w:pPr>
      <w:r w:rsidRPr="00D13B67">
        <w:t xml:space="preserve">Inclusive Design Research Centre. (2018). </w:t>
      </w:r>
      <w:r w:rsidRPr="00D13B67">
        <w:rPr>
          <w:i/>
          <w:iCs/>
        </w:rPr>
        <w:t>What is Inclusive Design</w:t>
      </w:r>
      <w:r w:rsidRPr="00D13B67">
        <w:t xml:space="preserve">. </w:t>
      </w:r>
      <w:hyperlink r:id="rId106" w:history="1">
        <w:r w:rsidRPr="00D13B67">
          <w:rPr>
            <w:rStyle w:val="Hyperlink"/>
          </w:rPr>
          <w:t>https://legacy.idrc.ocadu.ca/about-the-idrc/49-resources/online-resources/articles-and-papers/443-whatisinclusivedesign</w:t>
        </w:r>
      </w:hyperlink>
    </w:p>
    <w:p w14:paraId="71A27A5B" w14:textId="1FAEDF49" w:rsidR="007E487B" w:rsidRPr="00D13B67" w:rsidRDefault="007E487B" w:rsidP="00305C0E">
      <w:pPr>
        <w:pStyle w:val="Reference"/>
      </w:pPr>
      <w:r w:rsidRPr="00D13B67">
        <w:t xml:space="preserve">Inclusive Design Research Centre. (2020). Philosophy. </w:t>
      </w:r>
      <w:r w:rsidRPr="00D13B67">
        <w:rPr>
          <w:i/>
        </w:rPr>
        <w:t>Inclusive Design Research Centre</w:t>
      </w:r>
      <w:r w:rsidRPr="00D13B67">
        <w:t xml:space="preserve">. </w:t>
      </w:r>
      <w:hyperlink r:id="rId107" w:history="1">
        <w:r w:rsidRPr="00D13B67">
          <w:rPr>
            <w:rStyle w:val="Hyperlink"/>
          </w:rPr>
          <w:t>https://idrc.ocadu.ca/about/philosophy/</w:t>
        </w:r>
      </w:hyperlink>
    </w:p>
    <w:p w14:paraId="40EA1700" w14:textId="551A9CF5" w:rsidR="0005335B" w:rsidRPr="00D13B67" w:rsidRDefault="00BE6114" w:rsidP="00305C0E">
      <w:pPr>
        <w:pStyle w:val="Reference"/>
      </w:pPr>
      <w:r w:rsidRPr="00D13B67">
        <w:t xml:space="preserve">Inclusive Design Research Centre. </w:t>
      </w:r>
      <w:r w:rsidR="00026D3B" w:rsidRPr="00D13B67">
        <w:t xml:space="preserve">(2023a). Introduction to community-led co-design. In </w:t>
      </w:r>
      <w:r w:rsidR="00026D3B" w:rsidRPr="00D13B67">
        <w:rPr>
          <w:i/>
          <w:iCs/>
        </w:rPr>
        <w:t>Community-Led Co-design Kit</w:t>
      </w:r>
      <w:r w:rsidR="00026D3B" w:rsidRPr="00D13B67">
        <w:t xml:space="preserve">. </w:t>
      </w:r>
      <w:hyperlink r:id="rId108" w:history="1">
        <w:r w:rsidR="003A2D37" w:rsidRPr="00D13B67">
          <w:rPr>
            <w:rStyle w:val="Hyperlink"/>
          </w:rPr>
          <w:t>https://community-led.design/introduction/</w:t>
        </w:r>
      </w:hyperlink>
    </w:p>
    <w:p w14:paraId="57476DBB" w14:textId="578FC0F3" w:rsidR="00BE6114" w:rsidRPr="00D13B67" w:rsidRDefault="00BE6114" w:rsidP="00305C0E">
      <w:pPr>
        <w:pStyle w:val="Reference"/>
      </w:pPr>
      <w:r w:rsidRPr="00D13B67">
        <w:t>Inclusive Design Research Centre. (2023</w:t>
      </w:r>
      <w:r w:rsidR="00026D3B" w:rsidRPr="00D13B67">
        <w:t>b</w:t>
      </w:r>
      <w:r w:rsidRPr="00D13B67">
        <w:t xml:space="preserve">). The design process. In </w:t>
      </w:r>
      <w:r w:rsidRPr="00D13B67">
        <w:rPr>
          <w:i/>
          <w:iCs/>
        </w:rPr>
        <w:t>Community-Led Co-design Kit</w:t>
      </w:r>
      <w:r w:rsidRPr="00D13B67">
        <w:t xml:space="preserve">. </w:t>
      </w:r>
      <w:hyperlink r:id="rId109" w:history="1">
        <w:r w:rsidRPr="00D13B67">
          <w:rPr>
            <w:rStyle w:val="Hyperlink"/>
          </w:rPr>
          <w:t>https://community-led.design/design-process/</w:t>
        </w:r>
      </w:hyperlink>
    </w:p>
    <w:p w14:paraId="50520587" w14:textId="09D4C7CC" w:rsidR="00BE738B" w:rsidRPr="00D13B67" w:rsidRDefault="008E71AF" w:rsidP="00305C0E">
      <w:pPr>
        <w:pStyle w:val="Reference"/>
      </w:pPr>
      <w:r w:rsidRPr="00D13B67">
        <w:t xml:space="preserve">Inclusive Design Research Centre. (2025). </w:t>
      </w:r>
      <w:r w:rsidRPr="00D13B67">
        <w:rPr>
          <w:i/>
          <w:iCs/>
        </w:rPr>
        <w:t xml:space="preserve">All </w:t>
      </w:r>
      <w:r w:rsidR="00C2233A" w:rsidRPr="00D13B67">
        <w:rPr>
          <w:i/>
          <w:iCs/>
        </w:rPr>
        <w:t>s</w:t>
      </w:r>
      <w:r w:rsidRPr="00D13B67">
        <w:rPr>
          <w:i/>
          <w:iCs/>
        </w:rPr>
        <w:t xml:space="preserve">tandards </w:t>
      </w:r>
      <w:r w:rsidR="00C2233A" w:rsidRPr="00D13B67">
        <w:rPr>
          <w:i/>
          <w:iCs/>
        </w:rPr>
        <w:t>with</w:t>
      </w:r>
      <w:r w:rsidRPr="00D13B67">
        <w:rPr>
          <w:i/>
          <w:iCs/>
        </w:rPr>
        <w:t xml:space="preserve"> Us</w:t>
      </w:r>
      <w:r w:rsidRPr="00D13B67">
        <w:t xml:space="preserve">. Inclusive Standards. </w:t>
      </w:r>
      <w:hyperlink r:id="rId110" w:history="1">
        <w:r w:rsidRPr="00D13B67">
          <w:rPr>
            <w:rStyle w:val="Hyperlink"/>
          </w:rPr>
          <w:t>https://standards.inclusivedesign.ca/projects/all-standards/</w:t>
        </w:r>
      </w:hyperlink>
    </w:p>
    <w:p w14:paraId="13E873F2" w14:textId="02E8D62D" w:rsidR="00AD7F47" w:rsidRPr="00D13B67" w:rsidRDefault="00AD7F47" w:rsidP="00305C0E">
      <w:pPr>
        <w:pStyle w:val="Reference"/>
      </w:pPr>
      <w:proofErr w:type="spellStart"/>
      <w:r w:rsidRPr="00D13B67">
        <w:t>Ineese</w:t>
      </w:r>
      <w:proofErr w:type="spellEnd"/>
      <w:r w:rsidRPr="00D13B67">
        <w:t xml:space="preserve">-Nash, N. (2020). Disability as a </w:t>
      </w:r>
      <w:r w:rsidR="00C2233A" w:rsidRPr="00D13B67">
        <w:t>colonial construct</w:t>
      </w:r>
      <w:r w:rsidRPr="00D13B67">
        <w:t xml:space="preserve">: The </w:t>
      </w:r>
      <w:r w:rsidR="00C2233A" w:rsidRPr="00D13B67">
        <w:t>missing discourse</w:t>
      </w:r>
      <w:r w:rsidRPr="00D13B67">
        <w:t xml:space="preserve"> of </w:t>
      </w:r>
      <w:r w:rsidR="00C2233A" w:rsidRPr="00D13B67">
        <w:t>culture</w:t>
      </w:r>
      <w:r w:rsidRPr="00D13B67">
        <w:t xml:space="preserve"> in </w:t>
      </w:r>
      <w:r w:rsidR="00C2233A" w:rsidRPr="00D13B67">
        <w:t>conceptualizations</w:t>
      </w:r>
      <w:r w:rsidRPr="00D13B67">
        <w:t xml:space="preserve"> of </w:t>
      </w:r>
      <w:r w:rsidR="00C2233A" w:rsidRPr="00D13B67">
        <w:t>disabled</w:t>
      </w:r>
      <w:r w:rsidRPr="00D13B67">
        <w:t xml:space="preserve"> Indigenous </w:t>
      </w:r>
      <w:r w:rsidR="00C2233A" w:rsidRPr="00D13B67">
        <w:t>children</w:t>
      </w:r>
      <w:r w:rsidRPr="00D13B67">
        <w:t xml:space="preserve">. </w:t>
      </w:r>
      <w:r w:rsidRPr="00D13B67">
        <w:rPr>
          <w:i/>
          <w:iCs/>
        </w:rPr>
        <w:t>Canadian Journal of Disability Studies</w:t>
      </w:r>
      <w:r w:rsidRPr="00D13B67">
        <w:t xml:space="preserve">, </w:t>
      </w:r>
      <w:r w:rsidRPr="00D13B67">
        <w:rPr>
          <w:i/>
          <w:iCs/>
        </w:rPr>
        <w:t>9</w:t>
      </w:r>
      <w:r w:rsidRPr="00D13B67">
        <w:t xml:space="preserve">(3), 28–51. </w:t>
      </w:r>
      <w:hyperlink r:id="rId111" w:history="1">
        <w:r w:rsidRPr="00D13B67">
          <w:rPr>
            <w:rStyle w:val="Hyperlink"/>
          </w:rPr>
          <w:t>https://doi.org/10.15353/cjds.v9i3.645</w:t>
        </w:r>
      </w:hyperlink>
    </w:p>
    <w:p w14:paraId="6DF48124" w14:textId="77777777" w:rsidR="00F1617B" w:rsidRPr="00D13B67" w:rsidRDefault="00F1617B" w:rsidP="00305C0E">
      <w:pPr>
        <w:pStyle w:val="Reference"/>
      </w:pPr>
      <w:r w:rsidRPr="00D13B67">
        <w:t xml:space="preserve">Ireland, D. K. (2017, September 14). </w:t>
      </w:r>
      <w:r w:rsidRPr="00D13B67">
        <w:rPr>
          <w:i/>
          <w:iCs/>
        </w:rPr>
        <w:t>Uncanny Accommodations in Higher Education | Toward Critical Access Theory</w:t>
      </w:r>
      <w:r w:rsidRPr="00D13B67">
        <w:t xml:space="preserve">. </w:t>
      </w:r>
      <w:hyperlink r:id="rId112" w:history="1">
        <w:r w:rsidRPr="00D13B67">
          <w:rPr>
            <w:rStyle w:val="Hyperlink"/>
          </w:rPr>
          <w:t>https://access.commons.gc.cuny.edu/2017/09/14/uncanny-accommodations-in-higher-education/</w:t>
        </w:r>
      </w:hyperlink>
    </w:p>
    <w:p w14:paraId="1F2ED810" w14:textId="444148DB" w:rsidR="00D47409" w:rsidRPr="00D13B67" w:rsidRDefault="00D47409" w:rsidP="00305C0E">
      <w:pPr>
        <w:pStyle w:val="Reference"/>
      </w:pPr>
      <w:r w:rsidRPr="00D13B67">
        <w:t xml:space="preserve">Istvan, Z. (2015, April 3). </w:t>
      </w:r>
      <w:r w:rsidRPr="00D13B67">
        <w:rPr>
          <w:rFonts w:ascii="Arial" w:hAnsi="Arial" w:cs="Arial"/>
        </w:rPr>
        <w:t>​</w:t>
      </w:r>
      <w:r w:rsidRPr="00D13B67">
        <w:t xml:space="preserve">In the </w:t>
      </w:r>
      <w:r w:rsidR="00C2233A" w:rsidRPr="00D13B67">
        <w:t>transhumanist age, we should be repairing disabilities, not sidewalks</w:t>
      </w:r>
      <w:r w:rsidRPr="00D13B67">
        <w:t xml:space="preserve">. </w:t>
      </w:r>
      <w:r w:rsidRPr="00D13B67">
        <w:rPr>
          <w:i/>
          <w:iCs/>
        </w:rPr>
        <w:t>VICE</w:t>
      </w:r>
      <w:r w:rsidRPr="00D13B67">
        <w:t xml:space="preserve">. </w:t>
      </w:r>
      <w:hyperlink r:id="rId113" w:history="1">
        <w:r w:rsidRPr="00D13B67">
          <w:rPr>
            <w:rStyle w:val="Hyperlink"/>
          </w:rPr>
          <w:t>https://www.vice.com/en/article/in-the-transhumanist-age-we-should-be-repairing-disabilities-not-sidewalks/</w:t>
        </w:r>
      </w:hyperlink>
    </w:p>
    <w:p w14:paraId="1C101725" w14:textId="235514BE" w:rsidR="008F669D" w:rsidRPr="00D13B67" w:rsidRDefault="008F669D" w:rsidP="00305C0E">
      <w:pPr>
        <w:pStyle w:val="Reference"/>
      </w:pPr>
      <w:r w:rsidRPr="00D13B67">
        <w:t xml:space="preserve">Jackson, A. K. (2023). Closing the </w:t>
      </w:r>
      <w:r w:rsidR="00C2233A" w:rsidRPr="00D13B67">
        <w:t>digital divide: understanding organizational approaches</w:t>
      </w:r>
      <w:r w:rsidRPr="00D13B67">
        <w:t xml:space="preserve"> to </w:t>
      </w:r>
      <w:r w:rsidR="00C2233A" w:rsidRPr="00D13B67">
        <w:t>digital accessibility</w:t>
      </w:r>
      <w:r w:rsidRPr="00D13B67">
        <w:t xml:space="preserve"> in </w:t>
      </w:r>
      <w:r w:rsidR="00C2233A" w:rsidRPr="00D13B67">
        <w:t>higher education</w:t>
      </w:r>
      <w:r w:rsidRPr="00D13B67">
        <w:t>. University of South Dakota.</w:t>
      </w:r>
    </w:p>
    <w:p w14:paraId="06E97F99" w14:textId="11CE51EA" w:rsidR="008E3A37" w:rsidRPr="00D13B67" w:rsidRDefault="008E3A37" w:rsidP="00305C0E">
      <w:pPr>
        <w:pStyle w:val="Reference"/>
      </w:pPr>
      <w:r w:rsidRPr="00D13B67">
        <w:t xml:space="preserve">Jacobs, L. (2023). Access to post-secondary </w:t>
      </w:r>
      <w:r w:rsidR="00C2233A" w:rsidRPr="00D13B67">
        <w:t>e</w:t>
      </w:r>
      <w:r w:rsidRPr="00D13B67">
        <w:t xml:space="preserve">ducation in Canada for students with disabilities. </w:t>
      </w:r>
      <w:r w:rsidRPr="00D13B67">
        <w:rPr>
          <w:i/>
          <w:iCs/>
        </w:rPr>
        <w:t>International Journal of Discrimination and the Law</w:t>
      </w:r>
      <w:r w:rsidRPr="00D13B67">
        <w:t xml:space="preserve">, </w:t>
      </w:r>
      <w:r w:rsidRPr="00D13B67">
        <w:rPr>
          <w:i/>
          <w:iCs/>
        </w:rPr>
        <w:t>23</w:t>
      </w:r>
      <w:r w:rsidRPr="00D13B67">
        <w:t xml:space="preserve">(1–2), 7–28. </w:t>
      </w:r>
      <w:hyperlink r:id="rId114" w:history="1">
        <w:r w:rsidRPr="00D13B67">
          <w:rPr>
            <w:rStyle w:val="Hyperlink"/>
          </w:rPr>
          <w:t>https://doi.org/10.1177/13582291231174156</w:t>
        </w:r>
      </w:hyperlink>
    </w:p>
    <w:p w14:paraId="59D76ABC" w14:textId="77777777" w:rsidR="3767E757" w:rsidRPr="00D13B67" w:rsidRDefault="3767E757" w:rsidP="00305C0E">
      <w:pPr>
        <w:pStyle w:val="Reference"/>
      </w:pPr>
      <w:r w:rsidRPr="00D13B67">
        <w:t xml:space="preserve">Janiszewski, C. M. S., Friedel, E., </w:t>
      </w:r>
      <w:proofErr w:type="spellStart"/>
      <w:r w:rsidRPr="00D13B67">
        <w:t>Skvarc</w:t>
      </w:r>
      <w:proofErr w:type="spellEnd"/>
      <w:r w:rsidRPr="00D13B67">
        <w:t xml:space="preserve">, D., Koller, D., &amp; Grech, L. B. (2025). The relationship between disability identity and use of person-first and identity-first language. </w:t>
      </w:r>
      <w:r w:rsidRPr="00D13B67">
        <w:rPr>
          <w:i/>
          <w:iCs/>
        </w:rPr>
        <w:t>Rehabilitation Psychology.</w:t>
      </w:r>
      <w:r w:rsidRPr="00D13B67">
        <w:t xml:space="preserve"> </w:t>
      </w:r>
      <w:hyperlink r:id="rId115">
        <w:r w:rsidRPr="00D13B67">
          <w:rPr>
            <w:rStyle w:val="Hyperlink"/>
          </w:rPr>
          <w:t>https://doi.org/10.1037/rep0000631</w:t>
        </w:r>
      </w:hyperlink>
    </w:p>
    <w:p w14:paraId="74044410" w14:textId="2330439D" w:rsidR="00524020" w:rsidRPr="00D13B67" w:rsidRDefault="00CE61F7" w:rsidP="00305C0E">
      <w:pPr>
        <w:pStyle w:val="Reference"/>
      </w:pPr>
      <w:r w:rsidRPr="00D13B67">
        <w:t xml:space="preserve">Jarman, M., Thompson-Ebanks, V., Singh, R., Boggs, C., Clement, K., &amp; Peter, S. (2023). </w:t>
      </w:r>
      <w:r w:rsidR="00C2233A" w:rsidRPr="00D13B67">
        <w:t>Disability studies, inclusive pedagogy</w:t>
      </w:r>
      <w:r w:rsidRPr="00D13B67">
        <w:t xml:space="preserve">, and </w:t>
      </w:r>
      <w:r w:rsidR="00C2233A" w:rsidRPr="00D13B67">
        <w:t>universal design</w:t>
      </w:r>
      <w:r w:rsidRPr="00D13B67">
        <w:t xml:space="preserve"> for </w:t>
      </w:r>
      <w:r w:rsidR="00C2233A" w:rsidRPr="00D13B67">
        <w:t>learning: a faculty pilot experience</w:t>
      </w:r>
      <w:r w:rsidRPr="00D13B67">
        <w:t xml:space="preserve">. </w:t>
      </w:r>
      <w:r w:rsidRPr="00D13B67">
        <w:rPr>
          <w:i/>
          <w:iCs/>
        </w:rPr>
        <w:t>Disability Studies Quarterly</w:t>
      </w:r>
      <w:r w:rsidRPr="00D13B67">
        <w:t xml:space="preserve">, </w:t>
      </w:r>
      <w:r w:rsidRPr="00D13B67">
        <w:rPr>
          <w:i/>
          <w:iCs/>
        </w:rPr>
        <w:t>42</w:t>
      </w:r>
      <w:r w:rsidRPr="00D13B67">
        <w:t xml:space="preserve">(3/4), N.PAG-N.PAG. </w:t>
      </w:r>
      <w:hyperlink r:id="rId116" w:history="1">
        <w:r w:rsidRPr="00D13B67">
          <w:rPr>
            <w:rStyle w:val="Hyperlink"/>
          </w:rPr>
          <w:t>https://doi.org/10.18061/dsq.v42i3-4.7981</w:t>
        </w:r>
      </w:hyperlink>
    </w:p>
    <w:p w14:paraId="5BC4F68A" w14:textId="3E50D0D6" w:rsidR="00565422" w:rsidRPr="00D13B67" w:rsidRDefault="00565422" w:rsidP="00305C0E">
      <w:pPr>
        <w:pStyle w:val="Reference"/>
      </w:pPr>
      <w:r w:rsidRPr="00D13B67">
        <w:t xml:space="preserve">Jewitt, C., &amp; Kress, G. R. (2003). </w:t>
      </w:r>
      <w:r w:rsidRPr="00D13B67">
        <w:rPr>
          <w:i/>
          <w:iCs/>
        </w:rPr>
        <w:t>Multimodal literacy</w:t>
      </w:r>
      <w:r w:rsidRPr="00D13B67">
        <w:t>. P. Lang.</w:t>
      </w:r>
    </w:p>
    <w:p w14:paraId="1972A55C" w14:textId="49B2BA9B" w:rsidR="007014BE" w:rsidRPr="00D13B67" w:rsidRDefault="007014BE" w:rsidP="00305C0E">
      <w:pPr>
        <w:pStyle w:val="Reference"/>
      </w:pPr>
      <w:r w:rsidRPr="00D13B67">
        <w:t xml:space="preserve">Jolls, C. (2004). Identifying the </w:t>
      </w:r>
      <w:r w:rsidR="00C2233A" w:rsidRPr="00D13B67">
        <w:t>effects</w:t>
      </w:r>
      <w:r w:rsidRPr="00D13B67">
        <w:t xml:space="preserve"> of the Americans with </w:t>
      </w:r>
      <w:r w:rsidR="00C2233A" w:rsidRPr="00D13B67">
        <w:t>disabilities act using state-law variation</w:t>
      </w:r>
      <w:r w:rsidRPr="00D13B67">
        <w:t xml:space="preserve">: Preliminary </w:t>
      </w:r>
      <w:r w:rsidR="00C2233A" w:rsidRPr="00D13B67">
        <w:t>evidence</w:t>
      </w:r>
      <w:r w:rsidRPr="00D13B67">
        <w:t xml:space="preserve"> on </w:t>
      </w:r>
      <w:r w:rsidR="00C2233A" w:rsidRPr="00D13B67">
        <w:t>educational participation effects</w:t>
      </w:r>
      <w:r w:rsidRPr="00D13B67">
        <w:t xml:space="preserve">. </w:t>
      </w:r>
      <w:hyperlink r:id="rId117" w:history="1">
        <w:r w:rsidRPr="00D13B67">
          <w:rPr>
            <w:rStyle w:val="Hyperlink"/>
          </w:rPr>
          <w:t>https://www.nber.org/papers/w10528</w:t>
        </w:r>
      </w:hyperlink>
    </w:p>
    <w:p w14:paraId="58A3A80B" w14:textId="4B9A1FD4" w:rsidR="007014BE" w:rsidRPr="00D13B67" w:rsidRDefault="007014BE" w:rsidP="00305C0E">
      <w:pPr>
        <w:pStyle w:val="Reference"/>
      </w:pPr>
      <w:r w:rsidRPr="00D13B67">
        <w:t xml:space="preserve">Joly, K. (2011). Web </w:t>
      </w:r>
      <w:r w:rsidR="00C2233A" w:rsidRPr="00D13B67">
        <w:t>accessibility</w:t>
      </w:r>
      <w:r w:rsidRPr="00D13B67">
        <w:t xml:space="preserve">: Required, </w:t>
      </w:r>
      <w:r w:rsidR="00C2233A" w:rsidRPr="00D13B67">
        <w:t>not optional</w:t>
      </w:r>
      <w:r w:rsidRPr="00D13B67">
        <w:t xml:space="preserve">. </w:t>
      </w:r>
      <w:r w:rsidRPr="00D13B67">
        <w:rPr>
          <w:i/>
          <w:iCs/>
        </w:rPr>
        <w:t>University Business</w:t>
      </w:r>
      <w:r w:rsidRPr="00D13B67">
        <w:t xml:space="preserve">, </w:t>
      </w:r>
      <w:r w:rsidRPr="00D13B67">
        <w:rPr>
          <w:i/>
          <w:iCs/>
        </w:rPr>
        <w:t>14</w:t>
      </w:r>
      <w:r w:rsidRPr="00D13B67">
        <w:t>(8), 31–32. (69878801).</w:t>
      </w:r>
    </w:p>
    <w:p w14:paraId="79C165E6" w14:textId="45174020" w:rsidR="002A7B73" w:rsidRPr="00D13B67" w:rsidRDefault="002A7B73" w:rsidP="00305C0E">
      <w:pPr>
        <w:pStyle w:val="Reference"/>
      </w:pPr>
      <w:r w:rsidRPr="00D13B67">
        <w:t xml:space="preserve">Jones, S. (2025, August 28). KPU and Langara layoff more staff after number of I-students drop. </w:t>
      </w:r>
      <w:r w:rsidRPr="00D13B67">
        <w:rPr>
          <w:i/>
          <w:iCs/>
        </w:rPr>
        <w:t>CityNews Vancouver</w:t>
      </w:r>
      <w:r w:rsidRPr="00D13B67">
        <w:t xml:space="preserve">. </w:t>
      </w:r>
      <w:hyperlink r:id="rId118" w:history="1">
        <w:r w:rsidRPr="00D13B67">
          <w:rPr>
            <w:rStyle w:val="Hyperlink"/>
          </w:rPr>
          <w:t>https://vancouver.citynews.ca/2025/08/27/kpu-langara-layoff-more-staff-number-i-students-drop/</w:t>
        </w:r>
      </w:hyperlink>
    </w:p>
    <w:p w14:paraId="59B3696F" w14:textId="1375850B" w:rsidR="009D10F0" w:rsidRPr="00D13B67" w:rsidRDefault="00A712D3" w:rsidP="00305C0E">
      <w:pPr>
        <w:pStyle w:val="Reference"/>
      </w:pPr>
      <w:r w:rsidRPr="00D13B67">
        <w:t xml:space="preserve">Kafer, A. (2013). </w:t>
      </w:r>
      <w:r w:rsidRPr="00D13B67">
        <w:rPr>
          <w:i/>
          <w:iCs/>
        </w:rPr>
        <w:t>Feminist, queer, crip.</w:t>
      </w:r>
      <w:r w:rsidRPr="00D13B67">
        <w:t xml:space="preserve"> Indiana University Press. (</w:t>
      </w:r>
      <w:proofErr w:type="gramStart"/>
      <w:r w:rsidRPr="00D13B67">
        <w:t>lang.b</w:t>
      </w:r>
      <w:proofErr w:type="gramEnd"/>
      <w:r w:rsidRPr="00D13B67">
        <w:t>1602084).</w:t>
      </w:r>
      <w:r w:rsidRPr="00D13B67">
        <w:rPr>
          <w:rFonts w:ascii="Times New Roman" w:eastAsia="Times New Roman" w:hAnsi="Times New Roman" w:cs="Times New Roman"/>
        </w:rPr>
        <w:t xml:space="preserve"> </w:t>
      </w:r>
      <w:hyperlink r:id="rId119" w:history="1">
        <w:r w:rsidRPr="00D13B67">
          <w:rPr>
            <w:rStyle w:val="Hyperlink"/>
          </w:rPr>
          <w:t>https://research.ebsco.com/linkprocessor/plink?id=f84e59f2-d228-3fbc-bc58-7d0e07362e5b</w:t>
        </w:r>
      </w:hyperlink>
    </w:p>
    <w:p w14:paraId="52D38AC6" w14:textId="57AFD083" w:rsidR="00701EC7" w:rsidRPr="00D13B67" w:rsidRDefault="00701EC7" w:rsidP="00305C0E">
      <w:pPr>
        <w:pStyle w:val="Reference"/>
      </w:pPr>
      <w:proofErr w:type="spellStart"/>
      <w:r w:rsidRPr="00D13B67">
        <w:lastRenderedPageBreak/>
        <w:t>Kanmodi</w:t>
      </w:r>
      <w:proofErr w:type="spellEnd"/>
      <w:r w:rsidRPr="00D13B67">
        <w:t xml:space="preserve"> KK, Jayasinghe YA, Okeke EB, Jayasinghe RD, Nkhata MJ, &amp; </w:t>
      </w:r>
      <w:proofErr w:type="spellStart"/>
      <w:r w:rsidRPr="00D13B67">
        <w:t>Nnyanzi</w:t>
      </w:r>
      <w:proofErr w:type="spellEnd"/>
      <w:r w:rsidRPr="00D13B67">
        <w:t xml:space="preserve"> LA. (2026). Fundamentals of </w:t>
      </w:r>
      <w:r w:rsidR="00DB7C8F" w:rsidRPr="00D13B67">
        <w:t>participatory action research</w:t>
      </w:r>
      <w:r w:rsidRPr="00D13B67">
        <w:t xml:space="preserve"> in </w:t>
      </w:r>
      <w:r w:rsidR="00DB7C8F" w:rsidRPr="00D13B67">
        <w:t>public health investigations</w:t>
      </w:r>
      <w:r w:rsidRPr="00D13B67">
        <w:t xml:space="preserve">: A </w:t>
      </w:r>
      <w:r w:rsidR="00DB7C8F" w:rsidRPr="00D13B67">
        <w:t>literature review</w:t>
      </w:r>
      <w:r w:rsidRPr="00D13B67">
        <w:t xml:space="preserve">. </w:t>
      </w:r>
      <w:r w:rsidRPr="00D13B67">
        <w:rPr>
          <w:i/>
          <w:iCs/>
        </w:rPr>
        <w:t>Ibom Medical Journal</w:t>
      </w:r>
      <w:r w:rsidRPr="00D13B67">
        <w:t xml:space="preserve">, </w:t>
      </w:r>
      <w:r w:rsidRPr="00D13B67">
        <w:rPr>
          <w:i/>
          <w:iCs/>
        </w:rPr>
        <w:t>19</w:t>
      </w:r>
      <w:r w:rsidRPr="00D13B67">
        <w:t xml:space="preserve">(1), 242–256. </w:t>
      </w:r>
      <w:hyperlink r:id="rId120" w:history="1">
        <w:r w:rsidRPr="00D13B67">
          <w:rPr>
            <w:rStyle w:val="Hyperlink"/>
          </w:rPr>
          <w:t>https://doi.org/10.61386/imj.v19i1.938</w:t>
        </w:r>
      </w:hyperlink>
    </w:p>
    <w:p w14:paraId="33CFFB9A" w14:textId="77777777" w:rsidR="00A15495" w:rsidRPr="00D13B67" w:rsidRDefault="00A15495" w:rsidP="00305C0E">
      <w:pPr>
        <w:pStyle w:val="Reference"/>
      </w:pPr>
      <w:r w:rsidRPr="00D13B67">
        <w:t xml:space="preserve">Keates, S., &amp; Clarkson, P. J. (2002). Countering design exclusion through inclusive design. </w:t>
      </w:r>
      <w:r w:rsidRPr="00D13B67">
        <w:rPr>
          <w:i/>
          <w:iCs/>
        </w:rPr>
        <w:t>ACM SIGCAPH Computers and the Physically Handicapped</w:t>
      </w:r>
      <w:r w:rsidRPr="00D13B67">
        <w:t xml:space="preserve">, (73–74), 69–76. </w:t>
      </w:r>
      <w:hyperlink r:id="rId121" w:history="1">
        <w:r w:rsidRPr="00D13B67">
          <w:rPr>
            <w:rStyle w:val="Hyperlink"/>
          </w:rPr>
          <w:t>https://doi.org/10.1145/960201.957218</w:t>
        </w:r>
      </w:hyperlink>
    </w:p>
    <w:p w14:paraId="2B752054" w14:textId="0B4962B3" w:rsidR="00CE61F7" w:rsidRPr="00D13B67" w:rsidRDefault="00A15495" w:rsidP="00305C0E">
      <w:pPr>
        <w:pStyle w:val="Reference"/>
      </w:pPr>
      <w:r w:rsidRPr="00D13B67">
        <w:t xml:space="preserve">Keates, S. L., &amp; Clarkson, J. (2013). Countering </w:t>
      </w:r>
      <w:r w:rsidR="00DB7C8F" w:rsidRPr="00D13B67">
        <w:rPr>
          <w:iCs/>
        </w:rPr>
        <w:t>design exclusion</w:t>
      </w:r>
      <w:r w:rsidRPr="00D13B67">
        <w:t xml:space="preserve">: An </w:t>
      </w:r>
      <w:r w:rsidR="00DB7C8F" w:rsidRPr="00D13B67">
        <w:rPr>
          <w:iCs/>
        </w:rPr>
        <w:t>introduction</w:t>
      </w:r>
      <w:r w:rsidRPr="00D13B67">
        <w:t xml:space="preserve"> to </w:t>
      </w:r>
      <w:r w:rsidR="00DB7C8F" w:rsidRPr="00D13B67">
        <w:rPr>
          <w:iCs/>
        </w:rPr>
        <w:t>inclusive design</w:t>
      </w:r>
      <w:r w:rsidRPr="00D13B67">
        <w:t>. Springer London.</w:t>
      </w:r>
    </w:p>
    <w:p w14:paraId="29E4B95F" w14:textId="1614BCE8" w:rsidR="00A93219" w:rsidRPr="00D13B67" w:rsidRDefault="00A93219" w:rsidP="00305C0E">
      <w:pPr>
        <w:pStyle w:val="Reference"/>
      </w:pPr>
      <w:r w:rsidRPr="00D13B67">
        <w:t xml:space="preserve">Kelly, B., Phipps, L., &amp; Swift, E. (2004). Developing a </w:t>
      </w:r>
      <w:r w:rsidR="00DB7C8F" w:rsidRPr="00D13B67">
        <w:t>holistic approach</w:t>
      </w:r>
      <w:r w:rsidRPr="00D13B67">
        <w:t xml:space="preserve"> for </w:t>
      </w:r>
      <w:proofErr w:type="spellStart"/>
      <w:r w:rsidR="00DB7C8F" w:rsidRPr="00D13B67">
        <w:t>elearning</w:t>
      </w:r>
      <w:proofErr w:type="spellEnd"/>
      <w:r w:rsidR="00DB7C8F" w:rsidRPr="00D13B67">
        <w:t xml:space="preserve"> accessibility</w:t>
      </w:r>
      <w:r w:rsidRPr="00D13B67">
        <w:t xml:space="preserve">. </w:t>
      </w:r>
      <w:r w:rsidRPr="00D13B67">
        <w:rPr>
          <w:i/>
          <w:iCs/>
        </w:rPr>
        <w:t>Canadian Journal of Learning and Technology</w:t>
      </w:r>
      <w:r w:rsidRPr="00D13B67">
        <w:t xml:space="preserve">, </w:t>
      </w:r>
      <w:r w:rsidRPr="00D13B67">
        <w:rPr>
          <w:i/>
          <w:iCs/>
        </w:rPr>
        <w:t>30</w:t>
      </w:r>
      <w:r w:rsidRPr="00D13B67">
        <w:t>(2).</w:t>
      </w:r>
    </w:p>
    <w:p w14:paraId="2612C604" w14:textId="2EE679BF" w:rsidR="00A15495" w:rsidRPr="00D13B67" w:rsidRDefault="00A93219" w:rsidP="00305C0E">
      <w:pPr>
        <w:pStyle w:val="Reference"/>
      </w:pPr>
      <w:r w:rsidRPr="00D13B67">
        <w:t xml:space="preserve">Kelly, B., Sloan, D., Phipps, L., Petrie, H., &amp; Hamilton, F. (2005). Forcing standardization or accommodating </w:t>
      </w:r>
      <w:proofErr w:type="gramStart"/>
      <w:r w:rsidRPr="00D13B67">
        <w:t>diversity?:</w:t>
      </w:r>
      <w:proofErr w:type="gramEnd"/>
      <w:r w:rsidRPr="00D13B67">
        <w:t xml:space="preserve"> A framework for applying the WCAG in the real world. </w:t>
      </w:r>
      <w:r w:rsidRPr="00D13B67">
        <w:rPr>
          <w:i/>
          <w:iCs/>
        </w:rPr>
        <w:t>Proceedings of the 2005 International Cross-Disciplinary Workshop on Web Accessibility (W4</w:t>
      </w:r>
      <w:proofErr w:type="gramStart"/>
      <w:r w:rsidRPr="00D13B67">
        <w:rPr>
          <w:i/>
          <w:iCs/>
        </w:rPr>
        <w:t>A)  -</w:t>
      </w:r>
      <w:proofErr w:type="gramEnd"/>
      <w:r w:rsidRPr="00D13B67">
        <w:rPr>
          <w:i/>
          <w:iCs/>
        </w:rPr>
        <w:t xml:space="preserve"> W4A ’05</w:t>
      </w:r>
      <w:r w:rsidRPr="00D13B67">
        <w:t xml:space="preserve">, 46. </w:t>
      </w:r>
      <w:hyperlink r:id="rId122" w:history="1">
        <w:r w:rsidRPr="00D13B67">
          <w:rPr>
            <w:rStyle w:val="Hyperlink"/>
          </w:rPr>
          <w:t>https://doi.org/10.1145/1061811.1061820</w:t>
        </w:r>
      </w:hyperlink>
    </w:p>
    <w:p w14:paraId="04651B50" w14:textId="238325BF" w:rsidR="00303352" w:rsidRPr="00D13B67" w:rsidRDefault="00303352" w:rsidP="00305C0E">
      <w:pPr>
        <w:pStyle w:val="Reference"/>
      </w:pPr>
      <w:r w:rsidRPr="00D13B67">
        <w:t xml:space="preserve">Kelly, E., Colella, J., &amp; Sottosanti-Kusnir, A. (2024). Student </w:t>
      </w:r>
      <w:r w:rsidR="00DB7C8F" w:rsidRPr="00D13B67">
        <w:t>perceptions</w:t>
      </w:r>
      <w:r w:rsidRPr="00D13B67">
        <w:t xml:space="preserve"> of </w:t>
      </w:r>
      <w:r w:rsidR="00DB7C8F" w:rsidRPr="00D13B67">
        <w:t>effective educators</w:t>
      </w:r>
      <w:r w:rsidRPr="00D13B67">
        <w:t xml:space="preserve"> in </w:t>
      </w:r>
      <w:r w:rsidR="00DB7C8F" w:rsidRPr="00D13B67">
        <w:t>online learning</w:t>
      </w:r>
      <w:r w:rsidRPr="00D13B67">
        <w:t xml:space="preserve">. </w:t>
      </w:r>
      <w:r w:rsidRPr="00D13B67">
        <w:rPr>
          <w:i/>
          <w:iCs/>
        </w:rPr>
        <w:t>Online Learning</w:t>
      </w:r>
      <w:r w:rsidRPr="00D13B67">
        <w:t xml:space="preserve">, </w:t>
      </w:r>
      <w:r w:rsidRPr="00D13B67">
        <w:rPr>
          <w:i/>
          <w:iCs/>
        </w:rPr>
        <w:t>28</w:t>
      </w:r>
      <w:r w:rsidRPr="00D13B67">
        <w:t>(3), 372–397. ERIC</w:t>
      </w:r>
      <w:r w:rsidR="00747262" w:rsidRPr="00D13B67">
        <w:t xml:space="preserve"> </w:t>
      </w:r>
      <w:hyperlink r:id="rId123" w:history="1">
        <w:r w:rsidR="00747262" w:rsidRPr="00D13B67">
          <w:rPr>
            <w:rStyle w:val="Hyperlink"/>
          </w:rPr>
          <w:t>https://olj.onlinelearningconsortium.org/index.php/olj/index</w:t>
        </w:r>
      </w:hyperlink>
    </w:p>
    <w:p w14:paraId="601C8A94" w14:textId="77777777" w:rsidR="00ED1813" w:rsidRPr="00D13B67" w:rsidRDefault="00ED1813" w:rsidP="00305C0E">
      <w:pPr>
        <w:pStyle w:val="Reference"/>
      </w:pPr>
      <w:r w:rsidRPr="00D13B67">
        <w:t xml:space="preserve">Kemmis, S., &amp; McTaggart, R. (1988). </w:t>
      </w:r>
      <w:r w:rsidRPr="00D13B67">
        <w:rPr>
          <w:i/>
          <w:iCs/>
        </w:rPr>
        <w:t>The Action Research Planner</w:t>
      </w:r>
      <w:r w:rsidRPr="00D13B67">
        <w:t>. Deakin University.</w:t>
      </w:r>
    </w:p>
    <w:p w14:paraId="6218DC3B" w14:textId="4AF65CC7" w:rsidR="00A15495" w:rsidRPr="00D13B67" w:rsidRDefault="000F768D" w:rsidP="00305C0E">
      <w:pPr>
        <w:pStyle w:val="Reference"/>
      </w:pPr>
      <w:r w:rsidRPr="00D13B67">
        <w:t xml:space="preserve">Kendrick, A. (2022). </w:t>
      </w:r>
      <w:r w:rsidRPr="00D13B67">
        <w:rPr>
          <w:i/>
          <w:iCs/>
        </w:rPr>
        <w:t>Inclusive Design</w:t>
      </w:r>
      <w:r w:rsidRPr="00D13B67">
        <w:t xml:space="preserve">. Nielsen Norman Group. </w:t>
      </w:r>
      <w:hyperlink r:id="rId124" w:history="1">
        <w:r w:rsidRPr="00D13B67">
          <w:rPr>
            <w:rStyle w:val="Hyperlink"/>
          </w:rPr>
          <w:t>https://www.nngroup.com/articles/inclusive-design/</w:t>
        </w:r>
      </w:hyperlink>
    </w:p>
    <w:p w14:paraId="1C5B11A2" w14:textId="6E055FC8" w:rsidR="00902D58" w:rsidRPr="00D13B67" w:rsidRDefault="00902D58" w:rsidP="00305C0E">
      <w:pPr>
        <w:pStyle w:val="Reference"/>
      </w:pPr>
      <w:r w:rsidRPr="00D13B67">
        <w:t xml:space="preserve">Kent, M. (2016). Access and Barriers to Online Education for People with Disabilities. </w:t>
      </w:r>
      <w:r w:rsidRPr="00D13B67">
        <w:rPr>
          <w:i/>
          <w:iCs/>
        </w:rPr>
        <w:t>National Center for Student Equity in Higher Education</w:t>
      </w:r>
      <w:r w:rsidRPr="00D13B67">
        <w:t xml:space="preserve">. </w:t>
      </w:r>
      <w:hyperlink r:id="rId125" w:history="1">
        <w:r w:rsidR="004E3CCC" w:rsidRPr="00D13B67">
          <w:rPr>
            <w:rStyle w:val="Hyperlink"/>
          </w:rPr>
          <w:t>https://espace.curtin.edu.au/bitstream/handle/20.500</w:t>
        </w:r>
      </w:hyperlink>
    </w:p>
    <w:p w14:paraId="4D239948" w14:textId="5829E248" w:rsidR="00F139AE" w:rsidRPr="00D13B67" w:rsidRDefault="00F139AE" w:rsidP="00305C0E">
      <w:pPr>
        <w:pStyle w:val="Reference"/>
      </w:pPr>
      <w:r w:rsidRPr="00D13B67">
        <w:t xml:space="preserve">Kettler, R. J. (2012). Testing </w:t>
      </w:r>
      <w:r w:rsidR="00DB7C8F" w:rsidRPr="00D13B67">
        <w:t>accommodations</w:t>
      </w:r>
      <w:r w:rsidRPr="00D13B67">
        <w:t xml:space="preserve">: Theory and </w:t>
      </w:r>
      <w:r w:rsidR="00DB7C8F" w:rsidRPr="00D13B67">
        <w:t>research</w:t>
      </w:r>
      <w:r w:rsidRPr="00D13B67">
        <w:t xml:space="preserve"> to </w:t>
      </w:r>
      <w:r w:rsidR="00DB7C8F" w:rsidRPr="00D13B67">
        <w:t>inform practice</w:t>
      </w:r>
      <w:r w:rsidRPr="00D13B67">
        <w:t xml:space="preserve">. </w:t>
      </w:r>
      <w:r w:rsidRPr="00D13B67">
        <w:rPr>
          <w:i/>
          <w:iCs/>
        </w:rPr>
        <w:t>International Journal of Disability, Development and Education</w:t>
      </w:r>
      <w:r w:rsidRPr="00D13B67">
        <w:t xml:space="preserve">, </w:t>
      </w:r>
      <w:r w:rsidRPr="00D13B67">
        <w:rPr>
          <w:i/>
          <w:iCs/>
        </w:rPr>
        <w:t>59</w:t>
      </w:r>
      <w:r w:rsidRPr="00D13B67">
        <w:t xml:space="preserve">(1), 53–66. (EJ958610). </w:t>
      </w:r>
      <w:hyperlink r:id="rId126" w:history="1">
        <w:r w:rsidRPr="00D13B67">
          <w:rPr>
            <w:rStyle w:val="Hyperlink"/>
          </w:rPr>
          <w:t>https://doi.org/10.1080/1034912X.2012.654952</w:t>
        </w:r>
      </w:hyperlink>
    </w:p>
    <w:p w14:paraId="2E806F44" w14:textId="77777777" w:rsidR="00D82ABF" w:rsidRPr="00D13B67" w:rsidRDefault="00D82ABF" w:rsidP="00305C0E">
      <w:pPr>
        <w:pStyle w:val="Reference"/>
      </w:pPr>
      <w:proofErr w:type="spellStart"/>
      <w:r w:rsidRPr="00D13B67">
        <w:lastRenderedPageBreak/>
        <w:t>Kikabhai</w:t>
      </w:r>
      <w:proofErr w:type="spellEnd"/>
      <w:r w:rsidRPr="00D13B67">
        <w:t xml:space="preserve">, N. (2022). How educational systems respond to diversity, inclusion and social justice: Disability, power, discipline, territoriality and deterritorialization. </w:t>
      </w:r>
      <w:r w:rsidRPr="00D13B67">
        <w:rPr>
          <w:i/>
          <w:iCs/>
        </w:rPr>
        <w:t>British Journal of Sociology</w:t>
      </w:r>
      <w:r w:rsidRPr="00D13B67">
        <w:t xml:space="preserve">, </w:t>
      </w:r>
      <w:r w:rsidRPr="00D13B67">
        <w:rPr>
          <w:i/>
          <w:iCs/>
        </w:rPr>
        <w:t>73</w:t>
      </w:r>
      <w:r w:rsidRPr="00D13B67">
        <w:t xml:space="preserve">(4), 685–698. </w:t>
      </w:r>
      <w:hyperlink r:id="rId127" w:history="1">
        <w:r w:rsidRPr="00D13B67">
          <w:rPr>
            <w:rStyle w:val="Hyperlink"/>
          </w:rPr>
          <w:t>https://doi.org/10.1111/1468-4446.12969</w:t>
        </w:r>
      </w:hyperlink>
    </w:p>
    <w:p w14:paraId="54F0A1EA" w14:textId="187B51E1" w:rsidR="00D82ABF" w:rsidRPr="00D13B67" w:rsidRDefault="001A4890" w:rsidP="00305C0E">
      <w:pPr>
        <w:pStyle w:val="Reference"/>
      </w:pPr>
      <w:r w:rsidRPr="00D13B67">
        <w:t xml:space="preserve">Knox, K. M. (2024). Taking a stand: What every school social worker should know about critical disability theory. </w:t>
      </w:r>
      <w:r w:rsidRPr="00D13B67">
        <w:rPr>
          <w:i/>
          <w:iCs/>
        </w:rPr>
        <w:t>Children &amp; Schools</w:t>
      </w:r>
      <w:r w:rsidRPr="00D13B67">
        <w:t xml:space="preserve">, </w:t>
      </w:r>
      <w:r w:rsidRPr="00D13B67">
        <w:rPr>
          <w:i/>
          <w:iCs/>
        </w:rPr>
        <w:t>46</w:t>
      </w:r>
      <w:r w:rsidRPr="00D13B67">
        <w:t xml:space="preserve">(3), 195–197. </w:t>
      </w:r>
      <w:hyperlink r:id="rId128" w:history="1">
        <w:r w:rsidRPr="00D13B67">
          <w:rPr>
            <w:rStyle w:val="Hyperlink"/>
          </w:rPr>
          <w:t>https://doi.org/10.1093/cs/cdae014</w:t>
        </w:r>
      </w:hyperlink>
    </w:p>
    <w:p w14:paraId="6AA14D21" w14:textId="3A5CA3F6" w:rsidR="00CC68C3" w:rsidRPr="00D13B67" w:rsidRDefault="00CC68C3" w:rsidP="00305C0E">
      <w:pPr>
        <w:pStyle w:val="Reference"/>
      </w:pPr>
      <w:r w:rsidRPr="00D13B67">
        <w:t xml:space="preserve">Kovach, M. (2010). Conversational </w:t>
      </w:r>
      <w:r w:rsidR="00DB7C8F" w:rsidRPr="00D13B67">
        <w:t>m</w:t>
      </w:r>
      <w:r w:rsidRPr="00D13B67">
        <w:t xml:space="preserve">ethod in Indigenous </w:t>
      </w:r>
      <w:r w:rsidR="00DB7C8F" w:rsidRPr="00D13B67">
        <w:t>r</w:t>
      </w:r>
      <w:r w:rsidRPr="00D13B67">
        <w:t xml:space="preserve">esearch. </w:t>
      </w:r>
      <w:r w:rsidRPr="00D13B67">
        <w:rPr>
          <w:i/>
        </w:rPr>
        <w:t>First Peoples Child &amp; Family Review</w:t>
      </w:r>
      <w:r w:rsidRPr="00D13B67">
        <w:t xml:space="preserve">, </w:t>
      </w:r>
      <w:r w:rsidRPr="00D13B67">
        <w:rPr>
          <w:i/>
        </w:rPr>
        <w:t>5</w:t>
      </w:r>
      <w:r w:rsidRPr="00D13B67">
        <w:t>(1), 40–48. (51457227).</w:t>
      </w:r>
    </w:p>
    <w:p w14:paraId="4C97AC6B" w14:textId="57CFA140" w:rsidR="006464FA" w:rsidRPr="00D13B67" w:rsidRDefault="006464FA" w:rsidP="00305C0E">
      <w:pPr>
        <w:pStyle w:val="Reference"/>
      </w:pPr>
      <w:r w:rsidRPr="00D13B67">
        <w:t xml:space="preserve">Kovach, M. (2018). A </w:t>
      </w:r>
      <w:r w:rsidR="00DB7C8F" w:rsidRPr="00D13B67">
        <w:t>s</w:t>
      </w:r>
      <w:r w:rsidRPr="00D13B67">
        <w:t xml:space="preserve">tory in the </w:t>
      </w:r>
      <w:r w:rsidR="00DB7C8F" w:rsidRPr="00D13B67">
        <w:t>t</w:t>
      </w:r>
      <w:r w:rsidRPr="00D13B67">
        <w:t xml:space="preserve">elling. </w:t>
      </w:r>
      <w:proofErr w:type="spellStart"/>
      <w:r w:rsidRPr="00D13B67">
        <w:rPr>
          <w:i/>
          <w:iCs/>
        </w:rPr>
        <w:t>LEARNing</w:t>
      </w:r>
      <w:proofErr w:type="spellEnd"/>
      <w:r w:rsidRPr="00D13B67">
        <w:rPr>
          <w:i/>
          <w:iCs/>
        </w:rPr>
        <w:t xml:space="preserve"> Landscapes</w:t>
      </w:r>
      <w:r w:rsidRPr="00D13B67">
        <w:t xml:space="preserve">, </w:t>
      </w:r>
      <w:r w:rsidRPr="00D13B67">
        <w:rPr>
          <w:i/>
          <w:iCs/>
        </w:rPr>
        <w:t>11</w:t>
      </w:r>
      <w:r w:rsidRPr="00D13B67">
        <w:t xml:space="preserve">(2), 49–53. </w:t>
      </w:r>
      <w:hyperlink r:id="rId129" w:history="1">
        <w:r w:rsidRPr="00D13B67">
          <w:rPr>
            <w:rStyle w:val="Hyperlink"/>
          </w:rPr>
          <w:t>https://doi.org/10.36510/learnland.v11i2.945</w:t>
        </w:r>
      </w:hyperlink>
    </w:p>
    <w:p w14:paraId="5F60C1FC" w14:textId="1283E985" w:rsidR="00511392" w:rsidRPr="00D13B67" w:rsidRDefault="00511392" w:rsidP="00305C0E">
      <w:pPr>
        <w:pStyle w:val="Reference"/>
      </w:pPr>
      <w:r w:rsidRPr="00D13B67">
        <w:t xml:space="preserve">Krupnick, M. (2014, February 18). Colleges </w:t>
      </w:r>
      <w:r w:rsidR="00DB7C8F" w:rsidRPr="00D13B67">
        <w:t>respond</w:t>
      </w:r>
      <w:r w:rsidRPr="00D13B67">
        <w:t xml:space="preserve"> to </w:t>
      </w:r>
      <w:r w:rsidR="00DB7C8F" w:rsidRPr="00D13B67">
        <w:t>growing ranks</w:t>
      </w:r>
      <w:r w:rsidRPr="00D13B67">
        <w:t xml:space="preserve"> of </w:t>
      </w:r>
      <w:r w:rsidR="00DB7C8F" w:rsidRPr="00D13B67">
        <w:t>learning disabled</w:t>
      </w:r>
      <w:r w:rsidRPr="00D13B67">
        <w:t xml:space="preserve">. </w:t>
      </w:r>
      <w:r w:rsidRPr="00D13B67">
        <w:rPr>
          <w:i/>
          <w:iCs/>
        </w:rPr>
        <w:t>Washington Monthly</w:t>
      </w:r>
      <w:r w:rsidRPr="00D13B67">
        <w:t xml:space="preserve">. </w:t>
      </w:r>
      <w:hyperlink r:id="rId130">
        <w:r w:rsidR="542F7F6B" w:rsidRPr="00D13B67">
          <w:rPr>
            <w:rStyle w:val="Hyperlink"/>
          </w:rPr>
          <w:t>https://washingtonmonthly.com/2014/02/18/colleges-respond-to-growing-ranks-of-learning-disabled/</w:t>
        </w:r>
      </w:hyperlink>
    </w:p>
    <w:p w14:paraId="112F9D79" w14:textId="23C1B6FB" w:rsidR="0024414C" w:rsidRPr="00D13B67" w:rsidRDefault="0024414C" w:rsidP="00305C0E">
      <w:pPr>
        <w:pStyle w:val="Reference"/>
      </w:pPr>
      <w:r w:rsidRPr="00D13B67">
        <w:t xml:space="preserve">Kumar, A., &amp; Wang, L. L. (2024). </w:t>
      </w:r>
      <w:r w:rsidRPr="00D13B67">
        <w:rPr>
          <w:i/>
          <w:iCs/>
        </w:rPr>
        <w:t>Uncovering the New Accessibility Crisis in Scholarly PDFs</w:t>
      </w:r>
      <w:r w:rsidR="00DB7C8F" w:rsidRPr="00D13B67">
        <w:t>.</w:t>
      </w:r>
      <w:r w:rsidRPr="00D13B67">
        <w:t xml:space="preserve"> </w:t>
      </w:r>
      <w:hyperlink r:id="rId131" w:history="1">
        <w:r w:rsidRPr="00D13B67">
          <w:rPr>
            <w:rStyle w:val="Hyperlink"/>
          </w:rPr>
          <w:t>https://doi.org/10.48550/arXiv.2410.03022</w:t>
        </w:r>
      </w:hyperlink>
    </w:p>
    <w:p w14:paraId="6AB8D451" w14:textId="77777777" w:rsidR="0024414C" w:rsidRPr="00D13B67" w:rsidRDefault="0024414C" w:rsidP="00305C0E">
      <w:pPr>
        <w:pStyle w:val="Reference"/>
      </w:pPr>
      <w:r w:rsidRPr="00D13B67">
        <w:t xml:space="preserve">Laamanen, M., </w:t>
      </w:r>
      <w:proofErr w:type="spellStart"/>
      <w:r w:rsidRPr="00D13B67">
        <w:t>Ladonlahti</w:t>
      </w:r>
      <w:proofErr w:type="spellEnd"/>
      <w:r w:rsidRPr="00D13B67">
        <w:t xml:space="preserve">, T., </w:t>
      </w:r>
      <w:proofErr w:type="spellStart"/>
      <w:r w:rsidRPr="00D13B67">
        <w:t>Puupponen</w:t>
      </w:r>
      <w:proofErr w:type="spellEnd"/>
      <w:r w:rsidRPr="00D13B67">
        <w:t xml:space="preserve">, H., &amp; Kärkkäinen, T. (2024). Does the law matter? An empirical study on the accessibility of Finnish higher education institutions’ web pages. </w:t>
      </w:r>
      <w:r w:rsidRPr="00D13B67">
        <w:rPr>
          <w:i/>
          <w:iCs/>
        </w:rPr>
        <w:t>Universal Access in the Information Society</w:t>
      </w:r>
      <w:r w:rsidRPr="00D13B67">
        <w:t xml:space="preserve">, </w:t>
      </w:r>
      <w:r w:rsidRPr="00D13B67">
        <w:rPr>
          <w:i/>
          <w:iCs/>
        </w:rPr>
        <w:t>23</w:t>
      </w:r>
      <w:r w:rsidRPr="00D13B67">
        <w:t xml:space="preserve">(1), 475–491. </w:t>
      </w:r>
      <w:hyperlink r:id="rId132" w:history="1">
        <w:r w:rsidRPr="00D13B67">
          <w:rPr>
            <w:rStyle w:val="Hyperlink"/>
          </w:rPr>
          <w:t>https://doi.org/10.1007/s10209-022-00931-6</w:t>
        </w:r>
      </w:hyperlink>
    </w:p>
    <w:p w14:paraId="7656180F" w14:textId="177260D2" w:rsidR="002850BE" w:rsidRPr="00D13B67" w:rsidRDefault="002850BE" w:rsidP="00305C0E">
      <w:pPr>
        <w:pStyle w:val="Reference"/>
      </w:pPr>
      <w:proofErr w:type="spellStart"/>
      <w:r w:rsidRPr="00D13B67">
        <w:t>Labattaglia</w:t>
      </w:r>
      <w:proofErr w:type="spellEnd"/>
      <w:r w:rsidRPr="00D13B67">
        <w:t xml:space="preserve">, O., Reay, S., &amp; Nakarada-Kordic, I. (2023). Co-designing accessible co-design. </w:t>
      </w:r>
      <w:r w:rsidRPr="00D13B67">
        <w:rPr>
          <w:i/>
          <w:iCs/>
        </w:rPr>
        <w:t>Design for Health</w:t>
      </w:r>
      <w:r w:rsidRPr="00D13B67">
        <w:t xml:space="preserve">, </w:t>
      </w:r>
      <w:r w:rsidRPr="00D13B67">
        <w:rPr>
          <w:i/>
          <w:iCs/>
        </w:rPr>
        <w:t>7</w:t>
      </w:r>
      <w:r w:rsidRPr="00D13B67">
        <w:t xml:space="preserve">(3), 366–382. </w:t>
      </w:r>
      <w:hyperlink r:id="rId133" w:history="1">
        <w:r w:rsidRPr="00D13B67">
          <w:rPr>
            <w:rStyle w:val="Hyperlink"/>
          </w:rPr>
          <w:t>https://doi.org/10.1080/24735132.2023.2265239</w:t>
        </w:r>
      </w:hyperlink>
    </w:p>
    <w:p w14:paraId="2959A06E" w14:textId="42BF5D1F" w:rsidR="00D7162F" w:rsidRPr="00D13B67" w:rsidRDefault="00D7162F" w:rsidP="00305C0E">
      <w:pPr>
        <w:pStyle w:val="Reference"/>
      </w:pPr>
      <w:r w:rsidRPr="00D13B67">
        <w:t xml:space="preserve">Lau, T. C. W. (2019). Slowness, disability, and academic productivity: The need to rethink academic culture. In C. McMaster, B. Whitburn, &amp; M. Oliver (Eds.), </w:t>
      </w:r>
      <w:r w:rsidRPr="00D13B67">
        <w:rPr>
          <w:i/>
          <w:iCs/>
        </w:rPr>
        <w:t>Disability and the university: A disabled students’ manifesto</w:t>
      </w:r>
      <w:r w:rsidRPr="00D13B67">
        <w:t xml:space="preserve"> (pp. 11–19). Peter Lang Publishing, Inc.</w:t>
      </w:r>
    </w:p>
    <w:p w14:paraId="4FB60B74" w14:textId="3842B034" w:rsidR="0024414C" w:rsidRPr="00D13B67" w:rsidRDefault="0024414C" w:rsidP="00305C0E">
      <w:pPr>
        <w:pStyle w:val="Reference"/>
      </w:pPr>
      <w:r w:rsidRPr="00D13B67">
        <w:t xml:space="preserve">Lazar, B., &amp; Gifford, M. (2026). The 2025 </w:t>
      </w:r>
      <w:r w:rsidR="00DB7C8F" w:rsidRPr="00D13B67">
        <w:t>w</w:t>
      </w:r>
      <w:r w:rsidRPr="00D13B67">
        <w:t xml:space="preserve">eb </w:t>
      </w:r>
      <w:r w:rsidR="00DB7C8F" w:rsidRPr="00D13B67">
        <w:t>a</w:t>
      </w:r>
      <w:r w:rsidRPr="00D13B67">
        <w:t xml:space="preserve">lmanac: Accessibility. In </w:t>
      </w:r>
      <w:r w:rsidRPr="00D13B67">
        <w:rPr>
          <w:i/>
          <w:iCs/>
        </w:rPr>
        <w:t>The 2025 Web Almanac</w:t>
      </w:r>
      <w:r w:rsidRPr="00D13B67">
        <w:t xml:space="preserve"> (Vol. 7, Issue 6). HTTP Archive. </w:t>
      </w:r>
      <w:hyperlink r:id="rId134" w:history="1">
        <w:r w:rsidRPr="00D13B67">
          <w:rPr>
            <w:rStyle w:val="Hyperlink"/>
          </w:rPr>
          <w:t>https://almanac.httparchive.org/en/2025/accessibility</w:t>
        </w:r>
      </w:hyperlink>
    </w:p>
    <w:p w14:paraId="2365BDD0" w14:textId="36C91BA1" w:rsidR="0024414C" w:rsidRPr="00D13B67" w:rsidRDefault="0024414C" w:rsidP="00305C0E">
      <w:pPr>
        <w:pStyle w:val="Reference"/>
      </w:pPr>
      <w:r w:rsidRPr="00D13B67">
        <w:lastRenderedPageBreak/>
        <w:t xml:space="preserve">Lazar, J., Beere, P., Greenidge, K.-D., &amp; Nagappa, Y. (2003). Web accessibility in the Mid-Atlantic United States: A study of 50 homepages. </w:t>
      </w:r>
      <w:r w:rsidRPr="00D13B67">
        <w:rPr>
          <w:i/>
          <w:iCs/>
        </w:rPr>
        <w:t>Universal Access in the Information Society</w:t>
      </w:r>
      <w:r w:rsidRPr="00D13B67">
        <w:t xml:space="preserve">, </w:t>
      </w:r>
      <w:r w:rsidRPr="00D13B67">
        <w:rPr>
          <w:i/>
          <w:iCs/>
        </w:rPr>
        <w:t>2</w:t>
      </w:r>
      <w:r w:rsidRPr="00D13B67">
        <w:t xml:space="preserve">(4), 331–341. </w:t>
      </w:r>
      <w:hyperlink r:id="rId135" w:history="1">
        <w:r w:rsidRPr="00D13B67">
          <w:rPr>
            <w:rStyle w:val="Hyperlink"/>
          </w:rPr>
          <w:t>https://doi.org/10.1007/s10209-003-0060-z</w:t>
        </w:r>
      </w:hyperlink>
    </w:p>
    <w:p w14:paraId="3DCE75BF" w14:textId="59319925" w:rsidR="00550ED5" w:rsidRPr="00D13B67" w:rsidRDefault="00550ED5" w:rsidP="00305C0E">
      <w:pPr>
        <w:pStyle w:val="Reference"/>
      </w:pPr>
      <w:r w:rsidRPr="00D13B67">
        <w:rPr>
          <w:rStyle w:val="normaltextrun"/>
          <w:rFonts w:ascii="Aptos" w:hAnsi="Aptos"/>
          <w:color w:val="000000"/>
          <w:shd w:val="clear" w:color="auto" w:fill="FFFFFF"/>
        </w:rPr>
        <w:t>Lazar, J., Goldstein, D., &amp; Taylor, A. (2015). </w:t>
      </w:r>
      <w:r w:rsidRPr="00D13B67">
        <w:rPr>
          <w:rStyle w:val="normaltextrun"/>
          <w:rFonts w:ascii="Aptos" w:hAnsi="Aptos"/>
          <w:i/>
          <w:iCs/>
          <w:color w:val="000000"/>
          <w:shd w:val="clear" w:color="auto" w:fill="FFFFFF"/>
        </w:rPr>
        <w:t>Ensuring Digital Accessibility through Process and Policy</w:t>
      </w:r>
      <w:r w:rsidRPr="00D13B67">
        <w:rPr>
          <w:rStyle w:val="normaltextrun"/>
          <w:rFonts w:ascii="Aptos" w:hAnsi="Aptos"/>
          <w:color w:val="000000"/>
          <w:shd w:val="clear" w:color="auto" w:fill="FFFFFF"/>
        </w:rPr>
        <w:t>. Morgan Kaufmann, an imprint of Elsevier Limited. </w:t>
      </w:r>
      <w:r w:rsidRPr="00D13B67">
        <w:rPr>
          <w:rStyle w:val="eop"/>
          <w:rFonts w:ascii="Aptos" w:hAnsi="Aptos"/>
          <w:color w:val="000000"/>
          <w:shd w:val="clear" w:color="auto" w:fill="FFFFFF"/>
        </w:rPr>
        <w:t> </w:t>
      </w:r>
    </w:p>
    <w:p w14:paraId="2ABC6E5D" w14:textId="7A5219AC" w:rsidR="00F1617B" w:rsidRPr="00D13B67" w:rsidRDefault="00F1617B" w:rsidP="00305C0E">
      <w:pPr>
        <w:pStyle w:val="Reference"/>
      </w:pPr>
      <w:r w:rsidRPr="00D13B67">
        <w:t xml:space="preserve">Lefler, E. K., </w:t>
      </w:r>
      <w:proofErr w:type="spellStart"/>
      <w:r w:rsidRPr="00D13B67">
        <w:t>Alacha</w:t>
      </w:r>
      <w:proofErr w:type="spellEnd"/>
      <w:r w:rsidRPr="00D13B67">
        <w:t xml:space="preserve">, H. F., Weed, B. M., Reeble, C. J., &amp; Garner, A. M. (2025). Professor and </w:t>
      </w:r>
      <w:r w:rsidR="00DB7C8F" w:rsidRPr="00D13B67">
        <w:t>peer perceptions</w:t>
      </w:r>
      <w:r w:rsidRPr="00D13B67">
        <w:t xml:space="preserve"> of </w:t>
      </w:r>
      <w:r w:rsidR="00DB7C8F" w:rsidRPr="00D13B67">
        <w:t>requests</w:t>
      </w:r>
      <w:r w:rsidRPr="00D13B67">
        <w:t xml:space="preserve"> for </w:t>
      </w:r>
      <w:r w:rsidR="00DB7C8F" w:rsidRPr="00D13B67">
        <w:t>academic accommodations</w:t>
      </w:r>
      <w:r w:rsidRPr="00D13B67">
        <w:t xml:space="preserve"> in </w:t>
      </w:r>
      <w:r w:rsidR="00DB7C8F" w:rsidRPr="00D13B67">
        <w:t>college</w:t>
      </w:r>
      <w:r w:rsidRPr="00D13B67">
        <w:t xml:space="preserve">: An </w:t>
      </w:r>
      <w:r w:rsidR="00DB7C8F" w:rsidRPr="00D13B67">
        <w:t>examination</w:t>
      </w:r>
      <w:r w:rsidRPr="00D13B67">
        <w:t xml:space="preserve"> of </w:t>
      </w:r>
      <w:proofErr w:type="spellStart"/>
      <w:r w:rsidR="00DB7C8F" w:rsidRPr="00D13B67">
        <w:t>adhd</w:t>
      </w:r>
      <w:proofErr w:type="spellEnd"/>
      <w:r w:rsidRPr="00D13B67">
        <w:t xml:space="preserve"> and </w:t>
      </w:r>
      <w:r w:rsidR="00DB7C8F" w:rsidRPr="00D13B67">
        <w:t>specific learning disorder</w:t>
      </w:r>
      <w:r w:rsidRPr="00D13B67">
        <w:t xml:space="preserve">. </w:t>
      </w:r>
      <w:r w:rsidRPr="00D13B67">
        <w:rPr>
          <w:i/>
          <w:iCs/>
        </w:rPr>
        <w:t>Psychological Reports</w:t>
      </w:r>
      <w:r w:rsidRPr="00D13B67">
        <w:t xml:space="preserve">, </w:t>
      </w:r>
      <w:r w:rsidRPr="00D13B67">
        <w:rPr>
          <w:i/>
          <w:iCs/>
        </w:rPr>
        <w:t>128</w:t>
      </w:r>
      <w:r w:rsidRPr="00D13B67">
        <w:t xml:space="preserve">(2), 1134–1161. </w:t>
      </w:r>
      <w:hyperlink r:id="rId136" w:history="1">
        <w:r w:rsidRPr="00D13B67">
          <w:rPr>
            <w:rStyle w:val="Hyperlink"/>
          </w:rPr>
          <w:t>https://doi.org/10.1177/00332941231156821</w:t>
        </w:r>
      </w:hyperlink>
    </w:p>
    <w:p w14:paraId="45D5D992" w14:textId="70F57DD6" w:rsidR="00AB6547" w:rsidRPr="00D13B67" w:rsidRDefault="00AB6547" w:rsidP="00305C0E">
      <w:pPr>
        <w:pStyle w:val="Reference"/>
      </w:pPr>
      <w:r w:rsidRPr="00D13B67">
        <w:t>Lewin, K. (1948). Resolving social conflicts: Selected papers on group dynamics (G. W. Lewin, Ed.). Harper.</w:t>
      </w:r>
    </w:p>
    <w:p w14:paraId="7E2F99BC" w14:textId="14E40EC0" w:rsidR="0002145C" w:rsidRPr="00D13B67" w:rsidRDefault="0002145C" w:rsidP="00305C0E">
      <w:pPr>
        <w:pStyle w:val="Reference"/>
      </w:pPr>
      <w:r w:rsidRPr="00D13B67">
        <w:t xml:space="preserve">Lewis, K., Yoder, D., Riley, E., So, Y., &amp; </w:t>
      </w:r>
      <w:proofErr w:type="spellStart"/>
      <w:r w:rsidRPr="00D13B67">
        <w:t>Yusufali</w:t>
      </w:r>
      <w:proofErr w:type="spellEnd"/>
      <w:r w:rsidRPr="00D13B67">
        <w:t xml:space="preserve">, S. (2007). Accessibility of </w:t>
      </w:r>
      <w:r w:rsidR="00DB7C8F" w:rsidRPr="00D13B67">
        <w:t>instructional web sites</w:t>
      </w:r>
      <w:r w:rsidRPr="00D13B67">
        <w:t xml:space="preserve"> in </w:t>
      </w:r>
      <w:r w:rsidR="00DB7C8F" w:rsidRPr="00D13B67">
        <w:t>higher education</w:t>
      </w:r>
      <w:r w:rsidRPr="00D13B67">
        <w:t xml:space="preserve">. </w:t>
      </w:r>
      <w:r w:rsidRPr="00D13B67">
        <w:rPr>
          <w:i/>
        </w:rPr>
        <w:t>EDUCAUSE Review</w:t>
      </w:r>
      <w:r w:rsidRPr="00D13B67">
        <w:t xml:space="preserve">. </w:t>
      </w:r>
      <w:hyperlink r:id="rId137" w:history="1">
        <w:r w:rsidRPr="00D13B67">
          <w:rPr>
            <w:rStyle w:val="Hyperlink"/>
          </w:rPr>
          <w:t>https://er.educause.edu/articles/2007/7/accessibility-of-instructional-web-sites-in-higher-education</w:t>
        </w:r>
      </w:hyperlink>
    </w:p>
    <w:p w14:paraId="5B9EB265" w14:textId="07DB67AD" w:rsidR="3EA011F5" w:rsidRPr="00D13B67" w:rsidRDefault="3EA011F5" w:rsidP="00305C0E">
      <w:pPr>
        <w:pStyle w:val="Reference"/>
      </w:pPr>
      <w:r w:rsidRPr="00D13B67">
        <w:t xml:space="preserve">Lewsen, S. (2024, August 13). Are </w:t>
      </w:r>
      <w:r w:rsidR="00DB7C8F" w:rsidRPr="00D13B67">
        <w:t>universities failing</w:t>
      </w:r>
      <w:r w:rsidRPr="00D13B67">
        <w:t xml:space="preserve"> the </w:t>
      </w:r>
      <w:r w:rsidR="00DB7C8F" w:rsidRPr="00D13B67">
        <w:t>accommodations test</w:t>
      </w:r>
      <w:r w:rsidRPr="00D13B67">
        <w:t xml:space="preserve">? </w:t>
      </w:r>
      <w:r w:rsidRPr="00D13B67">
        <w:rPr>
          <w:i/>
        </w:rPr>
        <w:t>The Walrus</w:t>
      </w:r>
      <w:r w:rsidRPr="00D13B67">
        <w:t xml:space="preserve">. </w:t>
      </w:r>
      <w:hyperlink r:id="rId138">
        <w:r w:rsidRPr="00D13B67">
          <w:rPr>
            <w:rStyle w:val="Hyperlink"/>
          </w:rPr>
          <w:t>https://thewalrus.ca/accommodations/</w:t>
        </w:r>
      </w:hyperlink>
    </w:p>
    <w:p w14:paraId="0197B3E2" w14:textId="737A0C41" w:rsidR="00653FE4" w:rsidRPr="00D13B67" w:rsidRDefault="00653FE4" w:rsidP="00305C0E">
      <w:pPr>
        <w:pStyle w:val="Reference"/>
      </w:pPr>
      <w:r w:rsidRPr="00D13B67">
        <w:t xml:space="preserve">Lewthwaite, S. (2014). Web accessibility standards and disability: Developing critical perspectives on accessibility. </w:t>
      </w:r>
      <w:r w:rsidRPr="00D13B67">
        <w:rPr>
          <w:i/>
          <w:iCs/>
        </w:rPr>
        <w:t>Disability and Rehabilitation</w:t>
      </w:r>
      <w:r w:rsidRPr="00D13B67">
        <w:t xml:space="preserve">, </w:t>
      </w:r>
      <w:r w:rsidRPr="00D13B67">
        <w:rPr>
          <w:i/>
          <w:iCs/>
        </w:rPr>
        <w:t>36</w:t>
      </w:r>
      <w:r w:rsidRPr="00D13B67">
        <w:t xml:space="preserve">(16), 1375–1383. </w:t>
      </w:r>
      <w:hyperlink r:id="rId139" w:history="1">
        <w:r w:rsidRPr="00D13B67">
          <w:rPr>
            <w:rStyle w:val="Hyperlink"/>
          </w:rPr>
          <w:t>https://doi.org/10.3109/09638288.2014.938178</w:t>
        </w:r>
      </w:hyperlink>
    </w:p>
    <w:p w14:paraId="43A7C0EB" w14:textId="693FA7D0" w:rsidR="00631B2A" w:rsidRPr="00D13B67" w:rsidRDefault="00F1617B" w:rsidP="00305C0E">
      <w:pPr>
        <w:pStyle w:val="Reference"/>
      </w:pPr>
      <w:r w:rsidRPr="00D13B67">
        <w:t xml:space="preserve">Lin, P.-Y. (2025). </w:t>
      </w:r>
      <w:r w:rsidR="00DB7C8F" w:rsidRPr="00D13B67">
        <w:t>Do computer-based accommodations matter? An evaluation</w:t>
      </w:r>
      <w:r w:rsidRPr="00D13B67">
        <w:t xml:space="preserve"> of </w:t>
      </w:r>
      <w:r w:rsidR="00DB7C8F" w:rsidRPr="00D13B67">
        <w:t>bundled accommodations</w:t>
      </w:r>
      <w:r w:rsidRPr="00D13B67">
        <w:t xml:space="preserve"> for </w:t>
      </w:r>
      <w:r w:rsidR="00DB7C8F" w:rsidRPr="00D13B67">
        <w:t>secondary students with mild intellectual disabilities</w:t>
      </w:r>
      <w:r w:rsidRPr="00D13B67">
        <w:t xml:space="preserve">. </w:t>
      </w:r>
      <w:r w:rsidRPr="00D13B67">
        <w:rPr>
          <w:i/>
          <w:iCs/>
        </w:rPr>
        <w:t>Journal of Special Education Technology</w:t>
      </w:r>
      <w:r w:rsidRPr="00D13B67">
        <w:t xml:space="preserve">, </w:t>
      </w:r>
      <w:r w:rsidRPr="00D13B67">
        <w:rPr>
          <w:i/>
          <w:iCs/>
        </w:rPr>
        <w:t>40</w:t>
      </w:r>
      <w:r w:rsidRPr="00D13B67">
        <w:t xml:space="preserve">(1), 79–90. </w:t>
      </w:r>
      <w:hyperlink r:id="rId140" w:history="1">
        <w:r w:rsidRPr="00D13B67">
          <w:rPr>
            <w:rStyle w:val="Hyperlink"/>
          </w:rPr>
          <w:t>https://doi.org/10.1177/01626434241262236</w:t>
        </w:r>
      </w:hyperlink>
    </w:p>
    <w:p w14:paraId="12F85CD1" w14:textId="77777777" w:rsidR="00BF2462" w:rsidRPr="00D13B67" w:rsidRDefault="00BF2462" w:rsidP="00305C0E">
      <w:pPr>
        <w:pStyle w:val="Reference"/>
      </w:pPr>
      <w:r w:rsidRPr="00D13B67">
        <w:t xml:space="preserve">Liston, V. (2017). </w:t>
      </w:r>
      <w:r w:rsidRPr="00D13B67">
        <w:rPr>
          <w:i/>
          <w:iCs/>
        </w:rPr>
        <w:t>Behind the Design: OXO’s Iconic Good Grips Handles</w:t>
      </w:r>
      <w:r w:rsidRPr="00D13B67">
        <w:t xml:space="preserve">. </w:t>
      </w:r>
      <w:hyperlink r:id="rId141" w:history="1">
        <w:r w:rsidRPr="00D13B67">
          <w:rPr>
            <w:rStyle w:val="Hyperlink"/>
          </w:rPr>
          <w:t>https://www.oxo.com/blog/behind-the-scenes/behind-design-oxos-iconic-good-grips-handles</w:t>
        </w:r>
      </w:hyperlink>
    </w:p>
    <w:p w14:paraId="07EE1014" w14:textId="606F42E2" w:rsidR="00631B2A" w:rsidRPr="00D13B67" w:rsidRDefault="00631B2A" w:rsidP="00305C0E">
      <w:pPr>
        <w:pStyle w:val="Reference"/>
      </w:pPr>
      <w:r w:rsidRPr="00D13B67">
        <w:lastRenderedPageBreak/>
        <w:t xml:space="preserve">Loiacono, E. T., Romano, Jr., Nicholas C., &amp; Scott Mccoy. (2009). The </w:t>
      </w:r>
      <w:r w:rsidR="00DB7C8F" w:rsidRPr="00D13B67">
        <w:t>state</w:t>
      </w:r>
      <w:r w:rsidRPr="00D13B67">
        <w:t xml:space="preserve"> of </w:t>
      </w:r>
      <w:r w:rsidR="00DB7C8F" w:rsidRPr="00D13B67">
        <w:t>corporate website accessibility</w:t>
      </w:r>
      <w:r w:rsidRPr="00D13B67">
        <w:t xml:space="preserve">. </w:t>
      </w:r>
      <w:r w:rsidRPr="00D13B67">
        <w:rPr>
          <w:i/>
          <w:iCs/>
        </w:rPr>
        <w:t>Communications of the ACM</w:t>
      </w:r>
      <w:r w:rsidRPr="00D13B67">
        <w:t xml:space="preserve">, </w:t>
      </w:r>
      <w:r w:rsidRPr="00D13B67">
        <w:rPr>
          <w:i/>
          <w:iCs/>
        </w:rPr>
        <w:t>52</w:t>
      </w:r>
      <w:r w:rsidRPr="00D13B67">
        <w:t xml:space="preserve">(9), 128–132. (44181671). </w:t>
      </w:r>
      <w:hyperlink r:id="rId142" w:history="1">
        <w:r w:rsidRPr="00D13B67">
          <w:rPr>
            <w:rStyle w:val="Hyperlink"/>
          </w:rPr>
          <w:t>https://doi.org/10.1145/1562164.1562197</w:t>
        </w:r>
      </w:hyperlink>
    </w:p>
    <w:p w14:paraId="52E074CF" w14:textId="24EC1B11" w:rsidR="00631B2A" w:rsidRPr="00D13B67" w:rsidRDefault="00631B2A" w:rsidP="00305C0E">
      <w:pPr>
        <w:pStyle w:val="Reference"/>
      </w:pPr>
      <w:r w:rsidRPr="00D13B67">
        <w:t xml:space="preserve">Loiacono, E., &amp; McCoy, S. (2004). Web site accessibility: An online sector analysis. </w:t>
      </w:r>
      <w:r w:rsidRPr="00D13B67">
        <w:rPr>
          <w:i/>
          <w:iCs/>
        </w:rPr>
        <w:t>Information Technology &amp; People</w:t>
      </w:r>
      <w:r w:rsidRPr="00D13B67">
        <w:t xml:space="preserve">, </w:t>
      </w:r>
      <w:r w:rsidRPr="00D13B67">
        <w:rPr>
          <w:i/>
          <w:iCs/>
        </w:rPr>
        <w:t>17</w:t>
      </w:r>
      <w:r w:rsidRPr="00D13B67">
        <w:t xml:space="preserve">(1), 87–101. </w:t>
      </w:r>
      <w:hyperlink r:id="rId143" w:history="1">
        <w:r w:rsidRPr="00D13B67">
          <w:rPr>
            <w:rStyle w:val="Hyperlink"/>
          </w:rPr>
          <w:t>https://doi.org/10.1108/09593840410522198</w:t>
        </w:r>
      </w:hyperlink>
    </w:p>
    <w:p w14:paraId="66166C88" w14:textId="4C7EA023" w:rsidR="00DB0535" w:rsidRPr="00D13B67" w:rsidRDefault="00DB0535" w:rsidP="00305C0E">
      <w:pPr>
        <w:pStyle w:val="Reference"/>
      </w:pPr>
      <w:r w:rsidRPr="00D13B67">
        <w:t xml:space="preserve">Lomellini, A., Lowenthal, P. R., Snelson, C., &amp; Trespalacios, J. H. (2022). Higher education leaders’ perspectives of accessible and inclusive online learning. </w:t>
      </w:r>
      <w:r w:rsidRPr="00D13B67">
        <w:rPr>
          <w:i/>
          <w:iCs/>
        </w:rPr>
        <w:t>Distance Education</w:t>
      </w:r>
      <w:r w:rsidRPr="00D13B67">
        <w:t xml:space="preserve">, </w:t>
      </w:r>
      <w:r w:rsidRPr="00D13B67">
        <w:rPr>
          <w:i/>
          <w:iCs/>
        </w:rPr>
        <w:t>43</w:t>
      </w:r>
      <w:r w:rsidRPr="00D13B67">
        <w:t xml:space="preserve">(4), 574–595. </w:t>
      </w:r>
      <w:hyperlink r:id="rId144" w:history="1">
        <w:r w:rsidRPr="00D13B67">
          <w:rPr>
            <w:rStyle w:val="Hyperlink"/>
          </w:rPr>
          <w:t>https://doi.org/10.1080/01587919.2022.2141608</w:t>
        </w:r>
      </w:hyperlink>
    </w:p>
    <w:p w14:paraId="182EB17B" w14:textId="31D2277C" w:rsidR="00F1617B" w:rsidRPr="00D13B67" w:rsidRDefault="00F1617B" w:rsidP="00305C0E">
      <w:pPr>
        <w:pStyle w:val="Reference"/>
      </w:pPr>
      <w:r w:rsidRPr="00D13B67">
        <w:t xml:space="preserve">Low, G. (2019). Reasonable </w:t>
      </w:r>
      <w:r w:rsidR="00DB7C8F" w:rsidRPr="00D13B67">
        <w:t>adjustments</w:t>
      </w:r>
      <w:r w:rsidRPr="00D13B67">
        <w:t xml:space="preserve">. In C. McMaster, B. Whitburn, &amp; M. Oliver (Eds.), </w:t>
      </w:r>
      <w:r w:rsidRPr="00D13B67">
        <w:rPr>
          <w:i/>
          <w:iCs/>
        </w:rPr>
        <w:t>Disability and the university: A disabled students’ manifesto</w:t>
      </w:r>
      <w:r w:rsidRPr="00D13B67">
        <w:t xml:space="preserve"> (pp. 71–78). Peter Lang Publishing, Inc.</w:t>
      </w:r>
    </w:p>
    <w:p w14:paraId="5DB9F7A7" w14:textId="2064DC21" w:rsidR="00E4323E" w:rsidRPr="00D13B67" w:rsidRDefault="00E4323E" w:rsidP="00305C0E">
      <w:pPr>
        <w:pStyle w:val="Reference"/>
      </w:pPr>
      <w:r w:rsidRPr="00D13B67">
        <w:t xml:space="preserve">Ly, C. K., Cross, T., Petterson, A., Pandey, I., &amp; Chandra, P. (2025). </w:t>
      </w:r>
      <w:r w:rsidR="00DB7C8F" w:rsidRPr="00D13B67">
        <w:t>Accessibility work in academia: Balancing needs, bridging gaps, and breaking down barriers</w:t>
      </w:r>
      <w:r w:rsidRPr="00D13B67">
        <w:t xml:space="preserve">. </w:t>
      </w:r>
      <w:r w:rsidRPr="00D13B67">
        <w:rPr>
          <w:i/>
          <w:iCs/>
        </w:rPr>
        <w:t>Proceedings of the ACM on Human-Computer Interaction</w:t>
      </w:r>
      <w:r w:rsidRPr="00D13B67">
        <w:t xml:space="preserve">, </w:t>
      </w:r>
      <w:r w:rsidRPr="00D13B67">
        <w:rPr>
          <w:i/>
          <w:iCs/>
        </w:rPr>
        <w:t>9</w:t>
      </w:r>
      <w:r w:rsidRPr="00D13B67">
        <w:t xml:space="preserve">(7), 1–27. </w:t>
      </w:r>
      <w:hyperlink r:id="rId145" w:history="1">
        <w:r w:rsidRPr="00D13B67">
          <w:rPr>
            <w:rStyle w:val="Hyperlink"/>
          </w:rPr>
          <w:t>https://doi.org/10.1145/3757454</w:t>
        </w:r>
      </w:hyperlink>
    </w:p>
    <w:p w14:paraId="12FD0300" w14:textId="66394B4C" w:rsidR="00335128" w:rsidRPr="00D13B67" w:rsidRDefault="00335128" w:rsidP="00305C0E">
      <w:pPr>
        <w:pStyle w:val="Reference"/>
      </w:pPr>
      <w:r w:rsidRPr="00D13B67">
        <w:t xml:space="preserve">Lyman, M., Beecher, M. E., Griner, D., Brooks, M., Call, J., &amp; Jackson, A. (2016). What Keeps Students with Disabilities from Using Accommodations in Postsecondary Education? A Qualitative Review. </w:t>
      </w:r>
      <w:r w:rsidRPr="00D13B67">
        <w:rPr>
          <w:i/>
          <w:iCs/>
        </w:rPr>
        <w:t>Journal of Postsecondary Education and Disability, 29</w:t>
      </w:r>
      <w:r w:rsidRPr="00D13B67">
        <w:t>(2), 123–140.</w:t>
      </w:r>
    </w:p>
    <w:p w14:paraId="7025AFBD" w14:textId="10E4BC93" w:rsidR="00DE47DE" w:rsidRPr="00D13B67" w:rsidRDefault="00DE47DE" w:rsidP="00305C0E">
      <w:pPr>
        <w:pStyle w:val="Reference"/>
      </w:pPr>
      <w:proofErr w:type="spellStart"/>
      <w:r w:rsidRPr="00D13B67">
        <w:t>Mamboleo</w:t>
      </w:r>
      <w:proofErr w:type="spellEnd"/>
      <w:r w:rsidRPr="00D13B67">
        <w:t xml:space="preserve">, G., Dong, S., Anderson, S., &amp; Molder, A. (2020). Accommodation experience: Challenges and facilitators of requesting and implementing accommodations among college students with disabilities. </w:t>
      </w:r>
      <w:r w:rsidRPr="00D13B67">
        <w:rPr>
          <w:i/>
          <w:iCs/>
        </w:rPr>
        <w:t>Journal of Vocational Rehabilitation, 53</w:t>
      </w:r>
      <w:r w:rsidRPr="00D13B67">
        <w:t xml:space="preserve">(1), 43–54. (144257069). </w:t>
      </w:r>
      <w:hyperlink r:id="rId146" w:history="1">
        <w:r w:rsidRPr="00D13B67">
          <w:rPr>
            <w:rStyle w:val="Hyperlink"/>
          </w:rPr>
          <w:t>https://doi.org/10.3233/JVR-201084</w:t>
        </w:r>
      </w:hyperlink>
    </w:p>
    <w:p w14:paraId="3803F603" w14:textId="2D06C880" w:rsidR="00A6434F" w:rsidRPr="00D13B67" w:rsidRDefault="00A6434F" w:rsidP="00305C0E">
      <w:pPr>
        <w:pStyle w:val="Reference"/>
      </w:pPr>
      <w:r w:rsidRPr="00D13B67">
        <w:t xml:space="preserve">Marcus-Quinn, A. (2022). The EU </w:t>
      </w:r>
      <w:r w:rsidR="00DB7C8F" w:rsidRPr="00D13B67">
        <w:t>accessibility act and web accessibility directive</w:t>
      </w:r>
      <w:r w:rsidRPr="00D13B67">
        <w:t xml:space="preserve"> and the implications for </w:t>
      </w:r>
      <w:r w:rsidR="00DB7C8F" w:rsidRPr="00D13B67">
        <w:t>digital teaching and learning materials.</w:t>
      </w:r>
      <w:r w:rsidRPr="00D13B67">
        <w:t xml:space="preserve"> </w:t>
      </w:r>
      <w:r w:rsidRPr="00D13B67">
        <w:rPr>
          <w:i/>
          <w:iCs/>
        </w:rPr>
        <w:t>Routledge Open Research</w:t>
      </w:r>
      <w:r w:rsidRPr="00D13B67">
        <w:t xml:space="preserve">, </w:t>
      </w:r>
      <w:r w:rsidRPr="00D13B67">
        <w:rPr>
          <w:i/>
          <w:iCs/>
        </w:rPr>
        <w:t>1</w:t>
      </w:r>
      <w:r w:rsidRPr="00D13B67">
        <w:t xml:space="preserve">. </w:t>
      </w:r>
      <w:hyperlink r:id="rId147" w:history="1">
        <w:r w:rsidRPr="00D13B67">
          <w:rPr>
            <w:rStyle w:val="Hyperlink"/>
          </w:rPr>
          <w:t>https://doi.org/10.12688/routledgeopenres.17581.1</w:t>
        </w:r>
      </w:hyperlink>
    </w:p>
    <w:p w14:paraId="0B019979" w14:textId="178925E6" w:rsidR="00A6434F" w:rsidRPr="00D13B67" w:rsidRDefault="00A6434F" w:rsidP="00305C0E">
      <w:pPr>
        <w:pStyle w:val="Reference"/>
      </w:pPr>
      <w:proofErr w:type="spellStart"/>
      <w:r w:rsidRPr="00D13B67">
        <w:t>Marghalani</w:t>
      </w:r>
      <w:proofErr w:type="spellEnd"/>
      <w:r w:rsidRPr="00D13B67">
        <w:t xml:space="preserve">, A., &amp; York, C. S. (2021). Online </w:t>
      </w:r>
      <w:r w:rsidR="00C14ABD" w:rsidRPr="00D13B67">
        <w:t>courses accessibility</w:t>
      </w:r>
      <w:r w:rsidRPr="00D13B67">
        <w:t xml:space="preserve"> for </w:t>
      </w:r>
      <w:r w:rsidR="00C14ABD" w:rsidRPr="00D13B67">
        <w:t>low vision</w:t>
      </w:r>
      <w:r w:rsidRPr="00D13B67">
        <w:t xml:space="preserve">. </w:t>
      </w:r>
      <w:r w:rsidRPr="00D13B67">
        <w:rPr>
          <w:i/>
          <w:iCs/>
        </w:rPr>
        <w:t>Distance Learning</w:t>
      </w:r>
      <w:r w:rsidRPr="00D13B67">
        <w:t xml:space="preserve">, </w:t>
      </w:r>
      <w:r w:rsidRPr="00D13B67">
        <w:rPr>
          <w:i/>
          <w:iCs/>
        </w:rPr>
        <w:t>18</w:t>
      </w:r>
      <w:r w:rsidRPr="00D13B67">
        <w:t xml:space="preserve">(3), 1–13. </w:t>
      </w:r>
      <w:hyperlink r:id="rId148" w:history="1">
        <w:r w:rsidRPr="00D13B67">
          <w:rPr>
            <w:rStyle w:val="Hyperlink"/>
          </w:rPr>
          <w:t>https://doi.org/10.1108/DL-12-2021-0001</w:t>
        </w:r>
      </w:hyperlink>
    </w:p>
    <w:p w14:paraId="6AE2758D" w14:textId="36C77EFE" w:rsidR="00A65477" w:rsidRPr="00D13B67" w:rsidRDefault="00A65477" w:rsidP="00305C0E">
      <w:pPr>
        <w:pStyle w:val="Reference"/>
      </w:pPr>
      <w:r w:rsidRPr="00D13B67">
        <w:lastRenderedPageBreak/>
        <w:t xml:space="preserve">Marom, L., &amp; Hardwick, J. (2025). From </w:t>
      </w:r>
      <w:r w:rsidR="00C14ABD" w:rsidRPr="00D13B67">
        <w:t>access</w:t>
      </w:r>
      <w:r w:rsidRPr="00D13B67">
        <w:t xml:space="preserve"> to </w:t>
      </w:r>
      <w:r w:rsidR="00C14ABD" w:rsidRPr="00D13B67">
        <w:t>inclusion</w:t>
      </w:r>
      <w:r w:rsidRPr="00D13B67">
        <w:t xml:space="preserve">: A </w:t>
      </w:r>
      <w:r w:rsidR="00C14ABD" w:rsidRPr="00D13B67">
        <w:t>call</w:t>
      </w:r>
      <w:r w:rsidRPr="00D13B67">
        <w:t xml:space="preserve"> for a </w:t>
      </w:r>
      <w:r w:rsidR="00C14ABD" w:rsidRPr="00D13B67">
        <w:t>cultural shift</w:t>
      </w:r>
      <w:r w:rsidRPr="00D13B67">
        <w:t xml:space="preserve"> in </w:t>
      </w:r>
      <w:r w:rsidR="00C14ABD" w:rsidRPr="00D13B67">
        <w:t>higher education</w:t>
      </w:r>
      <w:r w:rsidRPr="00D13B67">
        <w:t xml:space="preserve">. </w:t>
      </w:r>
      <w:r w:rsidRPr="00D13B67">
        <w:rPr>
          <w:i/>
          <w:iCs/>
        </w:rPr>
        <w:t>Higher Education: The International Journal of Higher Education Research</w:t>
      </w:r>
      <w:r w:rsidRPr="00D13B67">
        <w:t xml:space="preserve">, </w:t>
      </w:r>
      <w:r w:rsidRPr="00D13B67">
        <w:rPr>
          <w:i/>
          <w:iCs/>
        </w:rPr>
        <w:t>89</w:t>
      </w:r>
      <w:r w:rsidRPr="00D13B67">
        <w:t xml:space="preserve">(2), 513–534. </w:t>
      </w:r>
      <w:hyperlink r:id="rId149" w:history="1">
        <w:r w:rsidRPr="00D13B67">
          <w:rPr>
            <w:rStyle w:val="Hyperlink"/>
          </w:rPr>
          <w:t>https://doi.org/10.1007/s10734-024-01233-x</w:t>
        </w:r>
      </w:hyperlink>
    </w:p>
    <w:p w14:paraId="0A2B3E5C" w14:textId="3981BCAA" w:rsidR="00A6434F" w:rsidRPr="00D13B67" w:rsidRDefault="00A6434F" w:rsidP="00305C0E">
      <w:pPr>
        <w:pStyle w:val="Reference"/>
      </w:pPr>
      <w:r w:rsidRPr="00D13B67">
        <w:t xml:space="preserve">Marquis, E., </w:t>
      </w:r>
      <w:proofErr w:type="spellStart"/>
      <w:r w:rsidRPr="00D13B67">
        <w:t>Schormans</w:t>
      </w:r>
      <w:proofErr w:type="spellEnd"/>
      <w:r w:rsidRPr="00D13B67">
        <w:t xml:space="preserve">, A. F., Jung, B., Vietinghoff, C., Wilton, R., &amp; Baptiste, S. (2016). Charting the </w:t>
      </w:r>
      <w:r w:rsidR="00C14ABD" w:rsidRPr="00D13B67">
        <w:t>landscape</w:t>
      </w:r>
      <w:r w:rsidRPr="00D13B67">
        <w:t xml:space="preserve"> of </w:t>
      </w:r>
      <w:r w:rsidR="00C14ABD" w:rsidRPr="00D13B67">
        <w:t>accessible education</w:t>
      </w:r>
      <w:r w:rsidRPr="00D13B67">
        <w:t xml:space="preserve"> for </w:t>
      </w:r>
      <w:r w:rsidR="00C14ABD" w:rsidRPr="00D13B67">
        <w:t>post</w:t>
      </w:r>
      <w:r w:rsidRPr="00D13B67">
        <w:t xml:space="preserve">-secondary </w:t>
      </w:r>
      <w:r w:rsidR="00C14ABD" w:rsidRPr="00D13B67">
        <w:t>students</w:t>
      </w:r>
      <w:r w:rsidRPr="00D13B67">
        <w:t xml:space="preserve"> with </w:t>
      </w:r>
      <w:r w:rsidR="00C14ABD" w:rsidRPr="00D13B67">
        <w:t>disabilities</w:t>
      </w:r>
      <w:r w:rsidRPr="00D13B67">
        <w:t xml:space="preserve">. </w:t>
      </w:r>
      <w:r w:rsidRPr="00D13B67">
        <w:rPr>
          <w:i/>
          <w:iCs/>
        </w:rPr>
        <w:t>Canadian Journal of Disability Studies</w:t>
      </w:r>
      <w:r w:rsidRPr="00D13B67">
        <w:t xml:space="preserve">, </w:t>
      </w:r>
      <w:r w:rsidRPr="00D13B67">
        <w:rPr>
          <w:i/>
          <w:iCs/>
        </w:rPr>
        <w:t>5</w:t>
      </w:r>
      <w:r w:rsidRPr="00D13B67">
        <w:t xml:space="preserve">(2), 42–71. </w:t>
      </w:r>
      <w:hyperlink r:id="rId150" w:history="1">
        <w:r w:rsidRPr="00D13B67">
          <w:rPr>
            <w:rStyle w:val="Hyperlink"/>
          </w:rPr>
          <w:t>https://doi.org/10.15353/cjds.v5i2.272</w:t>
        </w:r>
      </w:hyperlink>
    </w:p>
    <w:p w14:paraId="1C92DEDF" w14:textId="40A2FD3F" w:rsidR="00FE062B" w:rsidRPr="00D13B67" w:rsidRDefault="00B040E0" w:rsidP="00305C0E">
      <w:pPr>
        <w:pStyle w:val="Reference"/>
      </w:pPr>
      <w:r w:rsidRPr="00D13B67">
        <w:t xml:space="preserve">Masters, J. (1995). The </w:t>
      </w:r>
      <w:r w:rsidR="00C14ABD" w:rsidRPr="00D13B67">
        <w:t>history</w:t>
      </w:r>
      <w:r w:rsidRPr="00D13B67">
        <w:t xml:space="preserve"> of </w:t>
      </w:r>
      <w:r w:rsidR="00C14ABD" w:rsidRPr="00D13B67">
        <w:t>action research</w:t>
      </w:r>
      <w:r w:rsidRPr="00D13B67">
        <w:t xml:space="preserve">. </w:t>
      </w:r>
      <w:r w:rsidRPr="00D13B67">
        <w:rPr>
          <w:i/>
          <w:iCs/>
        </w:rPr>
        <w:t>Action Research Electronic Reader</w:t>
      </w:r>
      <w:r w:rsidRPr="00D13B67">
        <w:t xml:space="preserve">. </w:t>
      </w:r>
      <w:hyperlink r:id="rId151" w:history="1">
        <w:r w:rsidRPr="00D13B67">
          <w:rPr>
            <w:rStyle w:val="Hyperlink"/>
          </w:rPr>
          <w:t>http://www.behs.cchs.usyd.edu.au/arow/Reader/rmasters.htm</w:t>
        </w:r>
      </w:hyperlink>
    </w:p>
    <w:p w14:paraId="12393C24" w14:textId="66DEEE8A" w:rsidR="0058277A" w:rsidRPr="00D13B67" w:rsidRDefault="0058277A" w:rsidP="00305C0E">
      <w:pPr>
        <w:pStyle w:val="Reference"/>
      </w:pPr>
      <w:r w:rsidRPr="00D13B67">
        <w:t xml:space="preserve">Matthews, N. (2009). Teaching the ‘invisible’ disabled students in the classroom: Disclosure, inclusion and the social model of disability. </w:t>
      </w:r>
      <w:r w:rsidRPr="00D13B67">
        <w:rPr>
          <w:rStyle w:val="Emphasis"/>
        </w:rPr>
        <w:t>Teaching in Higher Education</w:t>
      </w:r>
      <w:r w:rsidRPr="00D13B67">
        <w:t xml:space="preserve">, </w:t>
      </w:r>
      <w:r w:rsidRPr="00D13B67">
        <w:rPr>
          <w:rStyle w:val="Emphasis"/>
        </w:rPr>
        <w:t>14</w:t>
      </w:r>
      <w:r w:rsidRPr="00D13B67">
        <w:t xml:space="preserve">(3), 229–239. </w:t>
      </w:r>
      <w:hyperlink r:id="rId152" w:history="1">
        <w:r w:rsidR="008A5A4A" w:rsidRPr="00D13B67">
          <w:rPr>
            <w:rStyle w:val="Hyperlink"/>
          </w:rPr>
          <w:t>https://doi.org/10.1080/13562510902898809</w:t>
        </w:r>
      </w:hyperlink>
    </w:p>
    <w:p w14:paraId="7EFD1036" w14:textId="21FF7622" w:rsidR="00F1617B" w:rsidRPr="00D13B67" w:rsidRDefault="00F1617B" w:rsidP="00305C0E">
      <w:pPr>
        <w:pStyle w:val="Reference"/>
      </w:pPr>
      <w:r w:rsidRPr="00D13B67">
        <w:t xml:space="preserve">Maurya, J., Swaroop, N., Sadar, P., &amp; Misra, D. (2025). Higher </w:t>
      </w:r>
      <w:r w:rsidR="00C14ABD" w:rsidRPr="00D13B67">
        <w:t>education</w:t>
      </w:r>
      <w:r w:rsidRPr="00D13B67">
        <w:t xml:space="preserve"> and </w:t>
      </w:r>
      <w:r w:rsidR="00C14ABD" w:rsidRPr="00D13B67">
        <w:t>disability</w:t>
      </w:r>
      <w:r w:rsidRPr="00D13B67">
        <w:t xml:space="preserve">: A </w:t>
      </w:r>
      <w:r w:rsidR="00C14ABD" w:rsidRPr="00D13B67">
        <w:t>systematic literature review</w:t>
      </w:r>
      <w:r w:rsidRPr="00D13B67">
        <w:t xml:space="preserve"> and </w:t>
      </w:r>
      <w:r w:rsidR="00C14ABD" w:rsidRPr="00D13B67">
        <w:t>agenda</w:t>
      </w:r>
      <w:r w:rsidRPr="00D13B67">
        <w:t xml:space="preserve"> for </w:t>
      </w:r>
      <w:r w:rsidR="00C14ABD" w:rsidRPr="00D13B67">
        <w:t>research</w:t>
      </w:r>
      <w:r w:rsidRPr="00D13B67">
        <w:t xml:space="preserve">. </w:t>
      </w:r>
      <w:r w:rsidRPr="00D13B67">
        <w:rPr>
          <w:i/>
          <w:iCs/>
        </w:rPr>
        <w:t>Higher Education Quarterly</w:t>
      </w:r>
      <w:r w:rsidRPr="00D13B67">
        <w:t xml:space="preserve">, </w:t>
      </w:r>
      <w:r w:rsidRPr="00D13B67">
        <w:rPr>
          <w:i/>
          <w:iCs/>
        </w:rPr>
        <w:t>79</w:t>
      </w:r>
      <w:r w:rsidRPr="00D13B67">
        <w:t xml:space="preserve">(1), e70001. </w:t>
      </w:r>
      <w:hyperlink r:id="rId153" w:history="1">
        <w:r w:rsidRPr="00D13B67">
          <w:rPr>
            <w:rStyle w:val="Hyperlink"/>
          </w:rPr>
          <w:t>https://doi.org/10.1111/hequ.70001</w:t>
        </w:r>
      </w:hyperlink>
    </w:p>
    <w:p w14:paraId="62EED34C" w14:textId="1C98CFD8" w:rsidR="009B7EB9" w:rsidRPr="00D13B67" w:rsidRDefault="009B7EB9" w:rsidP="00305C0E">
      <w:pPr>
        <w:pStyle w:val="Reference"/>
      </w:pPr>
      <w:r w:rsidRPr="00D13B67">
        <w:t xml:space="preserve">May, E. (2024). Critical </w:t>
      </w:r>
      <w:r w:rsidR="00C14ABD" w:rsidRPr="00D13B67">
        <w:t>pedagogy</w:t>
      </w:r>
      <w:r w:rsidRPr="00D13B67">
        <w:t xml:space="preserve"> and </w:t>
      </w:r>
      <w:r w:rsidR="00C14ABD" w:rsidRPr="00D13B67">
        <w:t>disability</w:t>
      </w:r>
      <w:r w:rsidRPr="00D13B67">
        <w:t xml:space="preserve"> in </w:t>
      </w:r>
      <w:r w:rsidR="00C14ABD" w:rsidRPr="00D13B67">
        <w:t>participatory research</w:t>
      </w:r>
      <w:r w:rsidRPr="00D13B67">
        <w:t xml:space="preserve">: A </w:t>
      </w:r>
      <w:r w:rsidR="00C14ABD" w:rsidRPr="00D13B67">
        <w:t>review</w:t>
      </w:r>
      <w:r w:rsidRPr="00D13B67">
        <w:t xml:space="preserve">. </w:t>
      </w:r>
      <w:r w:rsidRPr="00D13B67">
        <w:rPr>
          <w:i/>
        </w:rPr>
        <w:t>Information and Learning Sciences</w:t>
      </w:r>
      <w:r w:rsidRPr="00D13B67">
        <w:t xml:space="preserve">, </w:t>
      </w:r>
      <w:r w:rsidRPr="00D13B67">
        <w:rPr>
          <w:i/>
        </w:rPr>
        <w:t>125</w:t>
      </w:r>
      <w:r w:rsidRPr="00D13B67">
        <w:t>(7–8), 437–455.</w:t>
      </w:r>
      <w:r w:rsidR="00570899" w:rsidRPr="00D13B67">
        <w:t xml:space="preserve"> </w:t>
      </w:r>
      <w:hyperlink r:id="rId154" w:history="1">
        <w:r w:rsidR="00570899" w:rsidRPr="00D13B67">
          <w:rPr>
            <w:rStyle w:val="Hyperlink"/>
          </w:rPr>
          <w:t>https://doi.org/10.1108/ILS-02-2023-0021</w:t>
        </w:r>
      </w:hyperlink>
    </w:p>
    <w:p w14:paraId="4C52473C" w14:textId="0CCEA978" w:rsidR="00A6434F" w:rsidRPr="00D13B67" w:rsidRDefault="00A6434F" w:rsidP="00305C0E">
      <w:pPr>
        <w:pStyle w:val="Reference"/>
      </w:pPr>
      <w:r w:rsidRPr="00D13B67">
        <w:t xml:space="preserve">McCloy, U., &amp; DeClou, L. (2013). Disability in Ontario: Postsecondary education participation rates, student experience and labour market outcomes. </w:t>
      </w:r>
      <w:r w:rsidRPr="00D13B67">
        <w:rPr>
          <w:i/>
        </w:rPr>
        <w:t>Higher Education Quality Council of Ontario</w:t>
      </w:r>
      <w:r w:rsidRPr="00D13B67">
        <w:t>.</w:t>
      </w:r>
      <w:r w:rsidR="00691E65" w:rsidRPr="00D13B67">
        <w:t xml:space="preserve"> </w:t>
      </w:r>
      <w:hyperlink r:id="rId155" w:history="1">
        <w:r w:rsidR="00691E65" w:rsidRPr="00D13B67">
          <w:rPr>
            <w:rStyle w:val="Hyperlink"/>
          </w:rPr>
          <w:t>https://heqco.ca/wp-content/uploads/2020/03/At-Issue-Disability-in-ON_ENG.pdf</w:t>
        </w:r>
      </w:hyperlink>
    </w:p>
    <w:p w14:paraId="13832A3A" w14:textId="506D6764" w:rsidR="00697DE6" w:rsidRPr="00D13B67" w:rsidRDefault="00697DE6" w:rsidP="00305C0E">
      <w:pPr>
        <w:pStyle w:val="Reference"/>
      </w:pPr>
      <w:r w:rsidRPr="00D13B67">
        <w:t xml:space="preserve">McCrickerd, J. (2012). Understanding and Reducing Faculty Reluctance to Improve Teaching. </w:t>
      </w:r>
      <w:r w:rsidRPr="00D13B67">
        <w:rPr>
          <w:i/>
          <w:iCs/>
        </w:rPr>
        <w:t>College Teaching, 60</w:t>
      </w:r>
      <w:r w:rsidRPr="00D13B67">
        <w:t xml:space="preserve">(2), 56–64. </w:t>
      </w:r>
      <w:hyperlink r:id="rId156" w:history="1">
        <w:r w:rsidRPr="00D13B67">
          <w:rPr>
            <w:rStyle w:val="Hyperlink"/>
          </w:rPr>
          <w:t>https://doi.org/10.1080/87567555.2011.633287</w:t>
        </w:r>
      </w:hyperlink>
    </w:p>
    <w:p w14:paraId="27ABABD4" w14:textId="3650A84B" w:rsidR="00AA0629" w:rsidRPr="00D13B67" w:rsidRDefault="00AA0629" w:rsidP="00305C0E">
      <w:pPr>
        <w:pStyle w:val="Reference"/>
      </w:pPr>
      <w:r w:rsidRPr="00D13B67">
        <w:t xml:space="preserve">McDermott, R., &amp; </w:t>
      </w:r>
      <w:proofErr w:type="spellStart"/>
      <w:r w:rsidRPr="00D13B67">
        <w:t>Varenne</w:t>
      </w:r>
      <w:proofErr w:type="spellEnd"/>
      <w:r w:rsidRPr="00D13B67">
        <w:t xml:space="preserve">, H. (1995). Culture “as” </w:t>
      </w:r>
      <w:r w:rsidR="00C14ABD" w:rsidRPr="00D13B67">
        <w:t>d</w:t>
      </w:r>
      <w:r w:rsidRPr="00D13B67">
        <w:t xml:space="preserve">isability. </w:t>
      </w:r>
      <w:r w:rsidRPr="00D13B67">
        <w:rPr>
          <w:i/>
          <w:iCs/>
        </w:rPr>
        <w:t>Anthropology &amp; Education Quarterly</w:t>
      </w:r>
      <w:r w:rsidRPr="00D13B67">
        <w:t xml:space="preserve">, </w:t>
      </w:r>
      <w:r w:rsidRPr="00D13B67">
        <w:rPr>
          <w:i/>
          <w:iCs/>
        </w:rPr>
        <w:t>26</w:t>
      </w:r>
      <w:r w:rsidRPr="00D13B67">
        <w:t>(3), 324–348.</w:t>
      </w:r>
      <w:r w:rsidR="00637663" w:rsidRPr="00D13B67">
        <w:t xml:space="preserve"> </w:t>
      </w:r>
      <w:hyperlink r:id="rId157" w:history="1">
        <w:r w:rsidR="00637663" w:rsidRPr="00D13B67">
          <w:rPr>
            <w:rStyle w:val="Hyperlink"/>
          </w:rPr>
          <w:t>https://www.jstor.org/stable/3195676</w:t>
        </w:r>
      </w:hyperlink>
    </w:p>
    <w:p w14:paraId="0BD592F9" w14:textId="77777777" w:rsidR="00EE08A4" w:rsidRPr="00D13B67" w:rsidRDefault="00EE08A4" w:rsidP="00305C0E">
      <w:pPr>
        <w:pStyle w:val="Reference"/>
      </w:pPr>
      <w:r w:rsidRPr="00D13B67">
        <w:lastRenderedPageBreak/>
        <w:t xml:space="preserve">McDiarmid, C. &amp; Statistics Canada. (2023, October 3). </w:t>
      </w:r>
      <w:r w:rsidRPr="00D13B67">
        <w:rPr>
          <w:i/>
          <w:iCs/>
        </w:rPr>
        <w:t>Print material accessibility in Canada, 2023</w:t>
      </w:r>
      <w:r w:rsidRPr="00D13B67">
        <w:t xml:space="preserve">. </w:t>
      </w:r>
      <w:hyperlink r:id="rId158" w:history="1">
        <w:r w:rsidRPr="00D13B67">
          <w:rPr>
            <w:rStyle w:val="Hyperlink"/>
          </w:rPr>
          <w:t>https://www150.statcan.gc.ca/n1/pub/89-654-x/89-654-x2023003-eng.htm</w:t>
        </w:r>
      </w:hyperlink>
    </w:p>
    <w:p w14:paraId="0E50C30A" w14:textId="2C37F1C2" w:rsidR="0030334C" w:rsidRPr="00D13B67" w:rsidRDefault="0030334C" w:rsidP="00305C0E">
      <w:pPr>
        <w:pStyle w:val="Reference"/>
      </w:pPr>
      <w:r w:rsidRPr="00D13B67">
        <w:t xml:space="preserve">McGowan, V. (2018). State of </w:t>
      </w:r>
      <w:r w:rsidR="00C14ABD" w:rsidRPr="00D13B67">
        <w:t>practice</w:t>
      </w:r>
      <w:r w:rsidRPr="00D13B67">
        <w:t xml:space="preserve"> in </w:t>
      </w:r>
      <w:r w:rsidR="00C14ABD" w:rsidRPr="00D13B67">
        <w:t>accessible instructional material policy</w:t>
      </w:r>
      <w:r w:rsidRPr="00D13B67">
        <w:t xml:space="preserve"> in </w:t>
      </w:r>
      <w:r w:rsidR="00C14ABD" w:rsidRPr="00D13B67">
        <w:t>public post-secondary settings</w:t>
      </w:r>
      <w:r w:rsidRPr="00D13B67">
        <w:t xml:space="preserve">. </w:t>
      </w:r>
      <w:r w:rsidRPr="00D13B67">
        <w:rPr>
          <w:i/>
          <w:iCs/>
        </w:rPr>
        <w:t>Administrative Issues Journal: Connecting Education, Practice, and Research</w:t>
      </w:r>
      <w:r w:rsidRPr="00D13B67">
        <w:t xml:space="preserve">, </w:t>
      </w:r>
      <w:r w:rsidRPr="00D13B67">
        <w:rPr>
          <w:i/>
          <w:iCs/>
        </w:rPr>
        <w:t>8</w:t>
      </w:r>
      <w:r w:rsidRPr="00D13B67">
        <w:t xml:space="preserve">(2), 31–46. </w:t>
      </w:r>
      <w:hyperlink r:id="rId159" w:history="1">
        <w:r w:rsidRPr="00D13B67">
          <w:rPr>
            <w:rStyle w:val="Hyperlink"/>
          </w:rPr>
          <w:t>https://doi.org/10.5929/2019.1.14.2</w:t>
        </w:r>
      </w:hyperlink>
    </w:p>
    <w:p w14:paraId="2C46F97B" w14:textId="55F090A2" w:rsidR="00423450" w:rsidRPr="00D13B67" w:rsidRDefault="00423450" w:rsidP="00305C0E">
      <w:pPr>
        <w:pStyle w:val="Reference"/>
      </w:pPr>
      <w:r w:rsidRPr="00D13B67">
        <w:t xml:space="preserve">McGregor, K. K., Langenfeld, N., &amp; Van Horne, S. (2016). </w:t>
      </w:r>
      <w:r w:rsidR="00C14ABD" w:rsidRPr="00D13B67">
        <w:t>The university experiences</w:t>
      </w:r>
      <w:r w:rsidRPr="00D13B67">
        <w:t xml:space="preserve"> of </w:t>
      </w:r>
      <w:r w:rsidR="00C14ABD" w:rsidRPr="00D13B67">
        <w:t>students</w:t>
      </w:r>
      <w:r w:rsidRPr="00D13B67">
        <w:t xml:space="preserve"> with </w:t>
      </w:r>
      <w:r w:rsidR="00C14ABD" w:rsidRPr="00D13B67">
        <w:t>learning disabilities.</w:t>
      </w:r>
      <w:r w:rsidRPr="00D13B67">
        <w:t xml:space="preserve"> </w:t>
      </w:r>
      <w:r w:rsidRPr="00D13B67">
        <w:rPr>
          <w:i/>
          <w:iCs/>
        </w:rPr>
        <w:t>Learning Disabilities Research &amp; Practice</w:t>
      </w:r>
      <w:r w:rsidRPr="00D13B67">
        <w:t xml:space="preserve">, </w:t>
      </w:r>
      <w:r w:rsidRPr="00D13B67">
        <w:rPr>
          <w:i/>
          <w:iCs/>
        </w:rPr>
        <w:t>31</w:t>
      </w:r>
      <w:r w:rsidRPr="00D13B67">
        <w:t xml:space="preserve">(2), 90–102. (EJ1101076). </w:t>
      </w:r>
      <w:hyperlink r:id="rId160" w:history="1">
        <w:r w:rsidRPr="00D13B67">
          <w:rPr>
            <w:rStyle w:val="Hyperlink"/>
          </w:rPr>
          <w:t>https://doi.org/10.1111/ldrp.12102</w:t>
        </w:r>
      </w:hyperlink>
    </w:p>
    <w:p w14:paraId="78E4B318" w14:textId="6896FE01" w:rsidR="00011AB9" w:rsidRPr="00D13B67" w:rsidRDefault="00011AB9" w:rsidP="00305C0E">
      <w:pPr>
        <w:pStyle w:val="Reference"/>
      </w:pPr>
      <w:r w:rsidRPr="00D13B67">
        <w:t xml:space="preserve">Meekosha, H., &amp; Shuttleworth, R. (2009). What’s so ‘critical’ about critical disability studies? </w:t>
      </w:r>
      <w:r w:rsidRPr="00D13B67">
        <w:rPr>
          <w:i/>
          <w:iCs/>
        </w:rPr>
        <w:t>Australian Journal of Human Rights</w:t>
      </w:r>
      <w:r w:rsidRPr="00D13B67">
        <w:t xml:space="preserve">, </w:t>
      </w:r>
      <w:r w:rsidRPr="00D13B67">
        <w:rPr>
          <w:i/>
          <w:iCs/>
        </w:rPr>
        <w:t>15</w:t>
      </w:r>
      <w:r w:rsidRPr="00D13B67">
        <w:t xml:space="preserve">(1), 47–75. </w:t>
      </w:r>
      <w:hyperlink r:id="rId161" w:history="1">
        <w:r w:rsidRPr="00D13B67">
          <w:rPr>
            <w:rStyle w:val="Hyperlink"/>
          </w:rPr>
          <w:t>https://doi.org/10.1080/1323238X.2009.11910861</w:t>
        </w:r>
      </w:hyperlink>
    </w:p>
    <w:p w14:paraId="5BAC6253" w14:textId="0E41F9AF" w:rsidR="00B040E0" w:rsidRPr="00D13B67" w:rsidRDefault="00567051" w:rsidP="00305C0E">
      <w:pPr>
        <w:pStyle w:val="Reference"/>
      </w:pPr>
      <w:r w:rsidRPr="00D13B67">
        <w:t xml:space="preserve">Mills, G. E. (2003). Action </w:t>
      </w:r>
      <w:r w:rsidR="00C14ABD" w:rsidRPr="00D13B67">
        <w:t>research: a guide</w:t>
      </w:r>
      <w:r w:rsidRPr="00D13B67">
        <w:t xml:space="preserve"> for the </w:t>
      </w:r>
      <w:r w:rsidR="00C14ABD" w:rsidRPr="00D13B67">
        <w:t>teacher researcher.</w:t>
      </w:r>
      <w:r w:rsidRPr="00D13B67">
        <w:t xml:space="preserve"> Pearson.</w:t>
      </w:r>
    </w:p>
    <w:p w14:paraId="79C0C20F" w14:textId="3167E704" w:rsidR="00FA0C8F" w:rsidRPr="00D13B67" w:rsidRDefault="00FA0C8F" w:rsidP="00305C0E">
      <w:pPr>
        <w:pStyle w:val="Reference"/>
      </w:pPr>
      <w:r w:rsidRPr="00D13B67">
        <w:t xml:space="preserve">Minich, J. A. (2016). Enabling </w:t>
      </w:r>
      <w:r w:rsidR="00C14ABD" w:rsidRPr="00D13B67">
        <w:t>whom?</w:t>
      </w:r>
      <w:r w:rsidRPr="00D13B67">
        <w:t xml:space="preserve"> Critical </w:t>
      </w:r>
      <w:r w:rsidR="00C14ABD" w:rsidRPr="00D13B67">
        <w:t>disability studies now</w:t>
      </w:r>
      <w:r w:rsidRPr="00D13B67">
        <w:t xml:space="preserve">. </w:t>
      </w:r>
      <w:r w:rsidRPr="00D13B67">
        <w:rPr>
          <w:i/>
          <w:iCs/>
        </w:rPr>
        <w:t>Lateral</w:t>
      </w:r>
      <w:r w:rsidRPr="00D13B67">
        <w:t xml:space="preserve">, </w:t>
      </w:r>
      <w:r w:rsidRPr="00D13B67">
        <w:rPr>
          <w:i/>
          <w:iCs/>
        </w:rPr>
        <w:t>5</w:t>
      </w:r>
      <w:r w:rsidRPr="00D13B67">
        <w:t xml:space="preserve">(1). </w:t>
      </w:r>
      <w:hyperlink r:id="rId162" w:history="1">
        <w:r w:rsidRPr="00D13B67">
          <w:rPr>
            <w:rStyle w:val="Hyperlink"/>
          </w:rPr>
          <w:t>https://doi.org/10.25158/L5.1.9</w:t>
        </w:r>
      </w:hyperlink>
    </w:p>
    <w:p w14:paraId="4C1F7454" w14:textId="573F5C04" w:rsidR="14B17288" w:rsidRPr="00D13B67" w:rsidRDefault="14B17288" w:rsidP="00305C0E">
      <w:pPr>
        <w:pStyle w:val="Reference"/>
      </w:pPr>
      <w:r w:rsidRPr="00D13B67">
        <w:rPr>
          <w:i/>
          <w:iCs/>
        </w:rPr>
        <w:t xml:space="preserve">MLA </w:t>
      </w:r>
      <w:r w:rsidR="00625096" w:rsidRPr="00D13B67">
        <w:rPr>
          <w:i/>
          <w:iCs/>
        </w:rPr>
        <w:t>H</w:t>
      </w:r>
      <w:r w:rsidRPr="00D13B67">
        <w:rPr>
          <w:i/>
          <w:iCs/>
        </w:rPr>
        <w:t>andbook</w:t>
      </w:r>
      <w:r w:rsidRPr="00D13B67">
        <w:t xml:space="preserve">. (2021). </w:t>
      </w:r>
      <w:r w:rsidR="461148C0" w:rsidRPr="00D13B67">
        <w:t>(9</w:t>
      </w:r>
      <w:r w:rsidR="461148C0" w:rsidRPr="00D13B67">
        <w:rPr>
          <w:vertAlign w:val="superscript"/>
        </w:rPr>
        <w:t>th</w:t>
      </w:r>
      <w:r w:rsidR="461148C0" w:rsidRPr="00D13B67">
        <w:t xml:space="preserve"> ed.) </w:t>
      </w:r>
      <w:r w:rsidRPr="00D13B67">
        <w:t>The Modern Language Association of America.</w:t>
      </w:r>
    </w:p>
    <w:p w14:paraId="2373F859" w14:textId="6B39945F" w:rsidR="00BA4F29" w:rsidRPr="00D13B67" w:rsidRDefault="00FB13A7" w:rsidP="00305C0E">
      <w:pPr>
        <w:pStyle w:val="Reference"/>
      </w:pPr>
      <w:r w:rsidRPr="00D13B67">
        <w:t xml:space="preserve">Morales, M. P. E. (2016). Participatory </w:t>
      </w:r>
      <w:r w:rsidR="00C14ABD" w:rsidRPr="00D13B67">
        <w:t xml:space="preserve">action research </w:t>
      </w:r>
      <w:r w:rsidRPr="00D13B67">
        <w:t xml:space="preserve">(PAR) cum </w:t>
      </w:r>
      <w:r w:rsidR="00C14ABD" w:rsidRPr="00D13B67">
        <w:t>action research</w:t>
      </w:r>
      <w:r w:rsidRPr="00D13B67">
        <w:t xml:space="preserve"> (AR) in </w:t>
      </w:r>
      <w:r w:rsidR="00C14ABD" w:rsidRPr="00D13B67">
        <w:t>teacher professional development</w:t>
      </w:r>
      <w:r w:rsidRPr="00D13B67">
        <w:t xml:space="preserve">: A </w:t>
      </w:r>
      <w:r w:rsidR="00C14ABD" w:rsidRPr="00D13B67">
        <w:t>literature review</w:t>
      </w:r>
      <w:r w:rsidRPr="00D13B67">
        <w:t xml:space="preserve">. </w:t>
      </w:r>
      <w:r w:rsidRPr="00D13B67">
        <w:rPr>
          <w:i/>
          <w:iCs/>
        </w:rPr>
        <w:t>International Journal of Research in Education and Science</w:t>
      </w:r>
      <w:r w:rsidRPr="00D13B67">
        <w:t xml:space="preserve">, </w:t>
      </w:r>
      <w:r w:rsidRPr="00D13B67">
        <w:rPr>
          <w:i/>
          <w:iCs/>
        </w:rPr>
        <w:t>2</w:t>
      </w:r>
      <w:r w:rsidRPr="00D13B67">
        <w:t>(1), 156–165.</w:t>
      </w:r>
      <w:r w:rsidR="00637663" w:rsidRPr="00D13B67">
        <w:t xml:space="preserve"> </w:t>
      </w:r>
      <w:hyperlink r:id="rId163" w:history="1">
        <w:r w:rsidR="00637663" w:rsidRPr="00D13B67">
          <w:rPr>
            <w:rStyle w:val="Hyperlink"/>
          </w:rPr>
          <w:t>https://eric.ed.gov/?id=EJ1105165</w:t>
        </w:r>
      </w:hyperlink>
    </w:p>
    <w:p w14:paraId="61248AD5" w14:textId="3BE896A0" w:rsidR="00C10809" w:rsidRPr="00D13B67" w:rsidRDefault="00C10809" w:rsidP="00305C0E">
      <w:pPr>
        <w:pStyle w:val="Reference"/>
      </w:pPr>
      <w:r w:rsidRPr="00D13B67">
        <w:t xml:space="preserve">Nakamura, W. T., Oliveira, E. H. T. de, &amp; Conte, T. (2025). </w:t>
      </w:r>
      <w:r w:rsidR="00C14ABD" w:rsidRPr="00D13B67">
        <w:rPr>
          <w:i/>
          <w:iCs/>
        </w:rPr>
        <w:t>Usability and user experience evaluation of learning management systems—a systematic mapping study</w:t>
      </w:r>
      <w:r w:rsidRPr="00D13B67">
        <w:t xml:space="preserve">. 97–108. </w:t>
      </w:r>
      <w:hyperlink r:id="rId164" w:history="1">
        <w:r w:rsidR="00995981" w:rsidRPr="00D13B67">
          <w:rPr>
            <w:rStyle w:val="Hyperlink"/>
          </w:rPr>
          <w:t>https://doi.org/10.5220/0006363100970108</w:t>
        </w:r>
      </w:hyperlink>
    </w:p>
    <w:p w14:paraId="07A66A1F" w14:textId="77777777" w:rsidR="009F6018" w:rsidRPr="00D13B67" w:rsidRDefault="009F6018" w:rsidP="00305C0E">
      <w:pPr>
        <w:pStyle w:val="Reference"/>
      </w:pPr>
      <w:r w:rsidRPr="00D13B67">
        <w:t xml:space="preserve">Nakarada-Kordic, I., Hayes, N., Reay, S. D., Corbet, C., &amp; Chan, A. (2017). Co-designing for mental health: Creative methods to engage young people experiencing psychosis. </w:t>
      </w:r>
      <w:r w:rsidRPr="00D13B67">
        <w:rPr>
          <w:i/>
          <w:iCs/>
        </w:rPr>
        <w:t>Design for Health</w:t>
      </w:r>
      <w:r w:rsidRPr="00D13B67">
        <w:t xml:space="preserve">, </w:t>
      </w:r>
      <w:r w:rsidRPr="00D13B67">
        <w:rPr>
          <w:i/>
          <w:iCs/>
        </w:rPr>
        <w:t>1</w:t>
      </w:r>
      <w:r w:rsidRPr="00D13B67">
        <w:t xml:space="preserve">(2), 229–244. </w:t>
      </w:r>
      <w:hyperlink r:id="rId165" w:history="1">
        <w:r w:rsidRPr="00D13B67">
          <w:rPr>
            <w:rStyle w:val="Hyperlink"/>
          </w:rPr>
          <w:t>https://doi.org/10.1080/24735132.2017.1386954</w:t>
        </w:r>
      </w:hyperlink>
    </w:p>
    <w:p w14:paraId="237BD623" w14:textId="0313000F" w:rsidR="002D2EF3" w:rsidRPr="00D13B67" w:rsidRDefault="002D2EF3" w:rsidP="00305C0E">
      <w:pPr>
        <w:pStyle w:val="Reference"/>
      </w:pPr>
      <w:r w:rsidRPr="00D13B67">
        <w:rPr>
          <w:rStyle w:val="normaltextrun"/>
          <w:rFonts w:ascii="Aptos" w:hAnsi="Aptos"/>
          <w:color w:val="000000"/>
          <w:shd w:val="clear" w:color="auto" w:fill="FFFFFF"/>
        </w:rPr>
        <w:t>Nash, H. M., Pedersen, J. K., &amp; Swanson, H. R. (2023). Using a pilot study to pivot toward digital accessibility practices. In R. Mancilla &amp; B. A. Frey (Eds.), </w:t>
      </w:r>
      <w:r w:rsidRPr="00D13B67">
        <w:rPr>
          <w:rStyle w:val="normaltextrun"/>
          <w:rFonts w:ascii="Aptos" w:hAnsi="Aptos"/>
          <w:i/>
          <w:iCs/>
          <w:color w:val="000000"/>
          <w:shd w:val="clear" w:color="auto" w:fill="FFFFFF"/>
        </w:rPr>
        <w:t>Guide to digital accessibility; Policies, practices, and professional development. </w:t>
      </w:r>
      <w:r w:rsidRPr="00D13B67">
        <w:rPr>
          <w:rStyle w:val="normaltextrun"/>
          <w:rFonts w:ascii="Aptos" w:hAnsi="Aptos"/>
          <w:color w:val="000000"/>
          <w:shd w:val="clear" w:color="auto" w:fill="FFFFFF"/>
        </w:rPr>
        <w:t>Stylus Publishing, 212-227.</w:t>
      </w:r>
      <w:r w:rsidRPr="00D13B67">
        <w:rPr>
          <w:rStyle w:val="eop"/>
          <w:rFonts w:ascii="Aptos" w:hAnsi="Aptos"/>
          <w:color w:val="000000"/>
          <w:shd w:val="clear" w:color="auto" w:fill="FFFFFF"/>
        </w:rPr>
        <w:t> </w:t>
      </w:r>
    </w:p>
    <w:p w14:paraId="17E55507" w14:textId="2A3833AF" w:rsidR="00E028AD" w:rsidRPr="00D13B67" w:rsidRDefault="00E028AD" w:rsidP="00305C0E">
      <w:pPr>
        <w:pStyle w:val="Reference"/>
      </w:pPr>
      <w:r w:rsidRPr="00D13B67">
        <w:lastRenderedPageBreak/>
        <w:t xml:space="preserve">National Academies of Sciences (2018). Analysis </w:t>
      </w:r>
      <w:r w:rsidR="00C14ABD" w:rsidRPr="00D13B67">
        <w:t>techniques</w:t>
      </w:r>
      <w:r w:rsidRPr="00D13B67">
        <w:t xml:space="preserve"> for </w:t>
      </w:r>
      <w:r w:rsidR="00C14ABD" w:rsidRPr="00D13B67">
        <w:t>small population research</w:t>
      </w:r>
      <w:r w:rsidRPr="00D13B67">
        <w:t xml:space="preserve">. In </w:t>
      </w:r>
      <w:r w:rsidRPr="00D13B67">
        <w:rPr>
          <w:i/>
          <w:iCs/>
        </w:rPr>
        <w:t>Improving Health Research on Small Populations: Proceedings of a Workshop</w:t>
      </w:r>
      <w:r w:rsidRPr="00D13B67">
        <w:t xml:space="preserve">. National Academies Press (US). </w:t>
      </w:r>
      <w:hyperlink r:id="rId166" w:history="1">
        <w:r w:rsidRPr="00D13B67">
          <w:rPr>
            <w:rStyle w:val="Hyperlink"/>
          </w:rPr>
          <w:t>https://www.ncbi.nlm.nih.gov/books/NBK513190/</w:t>
        </w:r>
      </w:hyperlink>
    </w:p>
    <w:p w14:paraId="6DBE8584" w14:textId="21425F9B" w:rsidR="6C39FC83" w:rsidRPr="00D13B67" w:rsidRDefault="6C39FC83" w:rsidP="00305C0E">
      <w:pPr>
        <w:pStyle w:val="Reference"/>
      </w:pPr>
      <w:r w:rsidRPr="00D13B67">
        <w:t xml:space="preserve">National Institutes of Health. (2025, June 13). Person-first and </w:t>
      </w:r>
      <w:r w:rsidR="00C14ABD" w:rsidRPr="00D13B67">
        <w:t>d</w:t>
      </w:r>
      <w:r w:rsidRPr="00D13B67">
        <w:t xml:space="preserve">estigmatizing </w:t>
      </w:r>
      <w:r w:rsidR="00C14ABD" w:rsidRPr="00D13B67">
        <w:t>l</w:t>
      </w:r>
      <w:r w:rsidRPr="00D13B67">
        <w:t xml:space="preserve">anguage. </w:t>
      </w:r>
      <w:r w:rsidRPr="00D13B67">
        <w:rPr>
          <w:i/>
          <w:iCs/>
        </w:rPr>
        <w:t>NIH Style Guide</w:t>
      </w:r>
      <w:r w:rsidRPr="00D13B67">
        <w:t>.</w:t>
      </w:r>
      <w:r w:rsidR="30089ED0" w:rsidRPr="00D13B67">
        <w:t xml:space="preserve"> National Institutes of Health.</w:t>
      </w:r>
      <w:r w:rsidRPr="00D13B67">
        <w:t xml:space="preserve"> </w:t>
      </w:r>
      <w:hyperlink r:id="rId167">
        <w:r w:rsidRPr="00D13B67">
          <w:rPr>
            <w:rStyle w:val="Hyperlink"/>
          </w:rPr>
          <w:t>https://www.nih.gov/nih-style-guide/person-first-destigmatizing-language</w:t>
        </w:r>
      </w:hyperlink>
    </w:p>
    <w:p w14:paraId="2E49A9A6" w14:textId="49BEEA96" w:rsidR="00603CD9" w:rsidRPr="00D13B67" w:rsidRDefault="00603CD9" w:rsidP="00305C0E">
      <w:pPr>
        <w:pStyle w:val="Reference"/>
      </w:pPr>
      <w:r w:rsidRPr="00D13B67">
        <w:t xml:space="preserve">Newman, L. A., &amp; Madaus, J. W. (2015). Reported </w:t>
      </w:r>
      <w:r w:rsidR="00C14ABD" w:rsidRPr="00D13B67">
        <w:t>accommodations</w:t>
      </w:r>
      <w:r w:rsidRPr="00D13B67">
        <w:t xml:space="preserve"> and </w:t>
      </w:r>
      <w:r w:rsidR="00C14ABD" w:rsidRPr="00D13B67">
        <w:t>supports provided</w:t>
      </w:r>
      <w:r w:rsidRPr="00D13B67">
        <w:t xml:space="preserve"> to </w:t>
      </w:r>
      <w:r w:rsidR="00C14ABD" w:rsidRPr="00D13B67">
        <w:t>secondary</w:t>
      </w:r>
      <w:r w:rsidRPr="00D13B67">
        <w:t xml:space="preserve"> and </w:t>
      </w:r>
      <w:r w:rsidR="00C14ABD" w:rsidRPr="00D13B67">
        <w:t>postsecondary students with disabilities: national perspective</w:t>
      </w:r>
      <w:r w:rsidRPr="00D13B67">
        <w:t xml:space="preserve">. </w:t>
      </w:r>
      <w:r w:rsidRPr="00D13B67">
        <w:rPr>
          <w:i/>
          <w:iCs/>
        </w:rPr>
        <w:t>Career Development and Transition for Exceptional Individuals</w:t>
      </w:r>
      <w:r w:rsidRPr="00D13B67">
        <w:t xml:space="preserve">, </w:t>
      </w:r>
      <w:r w:rsidRPr="00D13B67">
        <w:rPr>
          <w:i/>
          <w:iCs/>
        </w:rPr>
        <w:t>38</w:t>
      </w:r>
      <w:r w:rsidRPr="00D13B67">
        <w:t xml:space="preserve">(3), 173–181. </w:t>
      </w:r>
      <w:hyperlink r:id="rId168" w:history="1">
        <w:r w:rsidRPr="00D13B67">
          <w:rPr>
            <w:rStyle w:val="Hyperlink"/>
          </w:rPr>
          <w:t>https://doi.org/10.1177/2165143413518235</w:t>
        </w:r>
      </w:hyperlink>
    </w:p>
    <w:p w14:paraId="0060F0AC" w14:textId="50312CA4" w:rsidR="000D132F" w:rsidRPr="00D13B67" w:rsidRDefault="000D132F" w:rsidP="00305C0E">
      <w:pPr>
        <w:pStyle w:val="Reference"/>
      </w:pPr>
      <w:r w:rsidRPr="00D13B67">
        <w:t xml:space="preserve">Nieminen, J. H., &amp; Eaton, S. E. (2024). </w:t>
      </w:r>
      <w:r w:rsidR="00C14ABD" w:rsidRPr="00D13B67">
        <w:t>Are assessment accommodations cheating? A critical policy analysis</w:t>
      </w:r>
      <w:r w:rsidRPr="00D13B67">
        <w:t xml:space="preserve">. </w:t>
      </w:r>
      <w:r w:rsidRPr="00D13B67">
        <w:rPr>
          <w:i/>
          <w:iCs/>
        </w:rPr>
        <w:t>Assessment &amp; Evaluation in Higher Education, 49</w:t>
      </w:r>
      <w:r w:rsidRPr="00D13B67">
        <w:t xml:space="preserve">(7), 978–993. </w:t>
      </w:r>
      <w:hyperlink r:id="rId169" w:history="1">
        <w:r w:rsidR="00637663" w:rsidRPr="00D13B67">
          <w:rPr>
            <w:rStyle w:val="Hyperlink"/>
          </w:rPr>
          <w:t>https://doi.org/10.1080/02602938.2023.2259632</w:t>
        </w:r>
      </w:hyperlink>
    </w:p>
    <w:p w14:paraId="7032A87E" w14:textId="28FCD73A" w:rsidR="00235177" w:rsidRPr="00D13B67" w:rsidRDefault="00235177" w:rsidP="00305C0E">
      <w:pPr>
        <w:pStyle w:val="Reference"/>
      </w:pPr>
      <w:proofErr w:type="spellStart"/>
      <w:r w:rsidRPr="00D13B67">
        <w:t>Nganji</w:t>
      </w:r>
      <w:proofErr w:type="spellEnd"/>
      <w:r w:rsidRPr="00D13B67">
        <w:t xml:space="preserve">, J. T. (2015). The Portable </w:t>
      </w:r>
      <w:r w:rsidR="00C14ABD" w:rsidRPr="00D13B67">
        <w:t>d</w:t>
      </w:r>
      <w:r w:rsidRPr="00D13B67">
        <w:t xml:space="preserve">ocument </w:t>
      </w:r>
      <w:r w:rsidR="00C14ABD" w:rsidRPr="00D13B67">
        <w:t>f</w:t>
      </w:r>
      <w:r w:rsidRPr="00D13B67">
        <w:t xml:space="preserve">ormat (PDF) accessibility practice of four journal publishers. </w:t>
      </w:r>
      <w:r w:rsidRPr="00D13B67">
        <w:rPr>
          <w:i/>
          <w:iCs/>
        </w:rPr>
        <w:t>Library &amp; Information Science Research</w:t>
      </w:r>
      <w:r w:rsidRPr="00D13B67">
        <w:t xml:space="preserve">, </w:t>
      </w:r>
      <w:r w:rsidRPr="00D13B67">
        <w:rPr>
          <w:i/>
          <w:iCs/>
        </w:rPr>
        <w:t>37</w:t>
      </w:r>
      <w:r w:rsidRPr="00D13B67">
        <w:t xml:space="preserve">(3), 254–262. </w:t>
      </w:r>
      <w:hyperlink r:id="rId170" w:history="1">
        <w:r w:rsidRPr="00D13B67">
          <w:rPr>
            <w:rStyle w:val="Hyperlink"/>
          </w:rPr>
          <w:t>https://doi.org/10.1016/j.lisr.2015.02.002</w:t>
        </w:r>
      </w:hyperlink>
    </w:p>
    <w:p w14:paraId="73874FC0" w14:textId="55327985" w:rsidR="00862CA9" w:rsidRPr="00D13B67" w:rsidRDefault="00235177" w:rsidP="00305C0E">
      <w:pPr>
        <w:pStyle w:val="Reference"/>
      </w:pPr>
      <w:proofErr w:type="spellStart"/>
      <w:r w:rsidRPr="00D13B67">
        <w:t>Nganji</w:t>
      </w:r>
      <w:proofErr w:type="spellEnd"/>
      <w:r w:rsidRPr="00D13B67">
        <w:t xml:space="preserve">, J. T. (2018). An assessment of the accessibility of PDF versions of selected journal articles published in a WCAG 2.0 era (2014–2018). </w:t>
      </w:r>
      <w:r w:rsidRPr="00D13B67">
        <w:rPr>
          <w:i/>
          <w:iCs/>
        </w:rPr>
        <w:t>Learned Publishing</w:t>
      </w:r>
      <w:r w:rsidRPr="00D13B67">
        <w:t xml:space="preserve">, </w:t>
      </w:r>
      <w:r w:rsidRPr="00D13B67">
        <w:rPr>
          <w:i/>
          <w:iCs/>
        </w:rPr>
        <w:t>31</w:t>
      </w:r>
      <w:r w:rsidRPr="00D13B67">
        <w:t xml:space="preserve">(4), 391–401. </w:t>
      </w:r>
      <w:hyperlink r:id="rId171" w:history="1">
        <w:r w:rsidRPr="00D13B67">
          <w:rPr>
            <w:rStyle w:val="Hyperlink"/>
          </w:rPr>
          <w:t>https://doi.org/10.1002/leap.1197</w:t>
        </w:r>
      </w:hyperlink>
    </w:p>
    <w:p w14:paraId="68F8813D" w14:textId="2A7ED629" w:rsidR="00F1617B" w:rsidRPr="00D13B67" w:rsidRDefault="00F1617B" w:rsidP="00305C0E">
      <w:pPr>
        <w:pStyle w:val="Reference"/>
      </w:pPr>
      <w:r w:rsidRPr="00D13B67">
        <w:t xml:space="preserve">Norris, M. E., &amp; Wood, V. M. (2023). </w:t>
      </w:r>
      <w:r w:rsidR="00C14ABD" w:rsidRPr="00D13B67">
        <w:t>A case study</w:t>
      </w:r>
      <w:r w:rsidRPr="00D13B67">
        <w:t xml:space="preserve"> on </w:t>
      </w:r>
      <w:r w:rsidR="00C14ABD" w:rsidRPr="00D13B67">
        <w:t>flexible design</w:t>
      </w:r>
      <w:r w:rsidRPr="00D13B67">
        <w:t xml:space="preserve">: Eliminating </w:t>
      </w:r>
      <w:r w:rsidR="00C14ABD" w:rsidRPr="00D13B67">
        <w:t>documentation requirements</w:t>
      </w:r>
      <w:r w:rsidRPr="00D13B67">
        <w:t xml:space="preserve"> for </w:t>
      </w:r>
      <w:r w:rsidR="00C14ABD" w:rsidRPr="00D13B67">
        <w:t>academic adjustments</w:t>
      </w:r>
      <w:r w:rsidRPr="00D13B67">
        <w:t xml:space="preserve"> on a </w:t>
      </w:r>
      <w:r w:rsidR="00C14ABD" w:rsidRPr="00D13B67">
        <w:t>test (practice brief).</w:t>
      </w:r>
      <w:r w:rsidRPr="00D13B67">
        <w:t xml:space="preserve"> </w:t>
      </w:r>
      <w:r w:rsidRPr="00D13B67">
        <w:rPr>
          <w:i/>
          <w:iCs/>
        </w:rPr>
        <w:t>Journal of Postsecondary Education and Disability</w:t>
      </w:r>
      <w:r w:rsidRPr="00D13B67">
        <w:t xml:space="preserve">, </w:t>
      </w:r>
      <w:r w:rsidRPr="00D13B67">
        <w:rPr>
          <w:i/>
          <w:iCs/>
        </w:rPr>
        <w:t>35</w:t>
      </w:r>
      <w:r w:rsidRPr="00D13B67">
        <w:t>(4), 355–360.</w:t>
      </w:r>
      <w:r w:rsidR="00C20084" w:rsidRPr="00D13B67">
        <w:t xml:space="preserve"> </w:t>
      </w:r>
      <w:hyperlink r:id="rId172" w:history="1">
        <w:r w:rsidR="00C20084" w:rsidRPr="00D13B67">
          <w:rPr>
            <w:rStyle w:val="Hyperlink"/>
          </w:rPr>
          <w:t>https://eric.ed.gov/?id=EJ1383780</w:t>
        </w:r>
      </w:hyperlink>
    </w:p>
    <w:p w14:paraId="698C6FCC" w14:textId="2DAB108B" w:rsidR="005A7537" w:rsidRPr="00D13B67" w:rsidRDefault="005A7537" w:rsidP="00305C0E">
      <w:pPr>
        <w:pStyle w:val="Reference"/>
      </w:pPr>
      <w:r w:rsidRPr="00D13B67">
        <w:t xml:space="preserve">Oliver, M. (1992). Changing the </w:t>
      </w:r>
      <w:r w:rsidR="00C14ABD" w:rsidRPr="00D13B67">
        <w:t>social relations</w:t>
      </w:r>
      <w:r w:rsidRPr="00D13B67">
        <w:t xml:space="preserve"> of </w:t>
      </w:r>
      <w:r w:rsidR="00C14ABD" w:rsidRPr="00D13B67">
        <w:t>research production</w:t>
      </w:r>
      <w:r w:rsidRPr="00D13B67">
        <w:t xml:space="preserve">? </w:t>
      </w:r>
      <w:r w:rsidRPr="00D13B67">
        <w:rPr>
          <w:i/>
          <w:iCs/>
        </w:rPr>
        <w:t>Disability, Handicap &amp; Society</w:t>
      </w:r>
      <w:r w:rsidRPr="00D13B67">
        <w:t xml:space="preserve">, </w:t>
      </w:r>
      <w:r w:rsidRPr="00D13B67">
        <w:rPr>
          <w:i/>
          <w:iCs/>
        </w:rPr>
        <w:t>7</w:t>
      </w:r>
      <w:r w:rsidRPr="00D13B67">
        <w:t xml:space="preserve">(2), 101–114. </w:t>
      </w:r>
      <w:hyperlink r:id="rId173" w:history="1">
        <w:r w:rsidRPr="00D13B67">
          <w:rPr>
            <w:rStyle w:val="Hyperlink"/>
          </w:rPr>
          <w:t>https://doi.org/10.1080/02674649266780141</w:t>
        </w:r>
      </w:hyperlink>
    </w:p>
    <w:p w14:paraId="7A1CC2A4" w14:textId="77777777" w:rsidR="00A71A47" w:rsidRPr="00D13B67" w:rsidRDefault="00A71A47" w:rsidP="00305C0E">
      <w:pPr>
        <w:pStyle w:val="Reference"/>
      </w:pPr>
      <w:r w:rsidRPr="00D13B67">
        <w:t xml:space="preserve">Oliver, M. (2013). The social model of disability: Thirty years on. </w:t>
      </w:r>
      <w:r w:rsidRPr="00D13B67">
        <w:rPr>
          <w:i/>
          <w:iCs/>
        </w:rPr>
        <w:t>Disability &amp; Society</w:t>
      </w:r>
      <w:r w:rsidRPr="00D13B67">
        <w:t xml:space="preserve">, </w:t>
      </w:r>
      <w:r w:rsidRPr="00D13B67">
        <w:rPr>
          <w:i/>
          <w:iCs/>
        </w:rPr>
        <w:t>28</w:t>
      </w:r>
      <w:r w:rsidRPr="00D13B67">
        <w:t xml:space="preserve">(7), 1024–1026. </w:t>
      </w:r>
      <w:hyperlink r:id="rId174" w:history="1">
        <w:r w:rsidRPr="00D13B67">
          <w:rPr>
            <w:rStyle w:val="Hyperlink"/>
          </w:rPr>
          <w:t>https://doi.org/10.1080/09687599.2013.818773</w:t>
        </w:r>
      </w:hyperlink>
    </w:p>
    <w:p w14:paraId="478B3F0B" w14:textId="1674CD25" w:rsidR="00F97244" w:rsidRPr="00D13B67" w:rsidRDefault="00F97244" w:rsidP="00305C0E">
      <w:pPr>
        <w:pStyle w:val="Reference"/>
      </w:pPr>
      <w:proofErr w:type="spellStart"/>
      <w:r w:rsidRPr="00D13B67">
        <w:lastRenderedPageBreak/>
        <w:t>Oncins</w:t>
      </w:r>
      <w:proofErr w:type="spellEnd"/>
      <w:r w:rsidRPr="00D13B67">
        <w:t xml:space="preserve">, E., &amp; Orero, P. (2021). Let’s put standardisation in practice: Accessibility services and interaction. </w:t>
      </w:r>
      <w:r w:rsidRPr="00D13B67">
        <w:rPr>
          <w:i/>
          <w:iCs/>
        </w:rPr>
        <w:t>Hikma</w:t>
      </w:r>
      <w:r w:rsidRPr="00D13B67">
        <w:t xml:space="preserve">, </w:t>
      </w:r>
      <w:r w:rsidRPr="00D13B67">
        <w:rPr>
          <w:i/>
          <w:iCs/>
        </w:rPr>
        <w:t>20</w:t>
      </w:r>
      <w:r w:rsidRPr="00D13B67">
        <w:t xml:space="preserve">(1), 71–90. </w:t>
      </w:r>
      <w:hyperlink r:id="rId175" w:history="1">
        <w:r w:rsidRPr="00D13B67">
          <w:rPr>
            <w:rStyle w:val="Hyperlink"/>
          </w:rPr>
          <w:t>https://doi.org/10.21071/hikma.v20i1.12886</w:t>
        </w:r>
      </w:hyperlink>
    </w:p>
    <w:p w14:paraId="606D50F8" w14:textId="49D0D24F" w:rsidR="004F7BE3" w:rsidRPr="00D13B67" w:rsidRDefault="004F7BE3" w:rsidP="00305C0E">
      <w:pPr>
        <w:pStyle w:val="Reference"/>
      </w:pPr>
      <w:r w:rsidRPr="00D13B67">
        <w:t>Organization for Economic Co-operation and Development</w:t>
      </w:r>
      <w:r w:rsidR="00336FF4" w:rsidRPr="00D13B67">
        <w:t xml:space="preserve"> (OECD)</w:t>
      </w:r>
      <w:r w:rsidRPr="00D13B67">
        <w:t xml:space="preserve">. (2011). Inclusion of </w:t>
      </w:r>
      <w:r w:rsidR="00C14ABD" w:rsidRPr="00D13B67">
        <w:t>students</w:t>
      </w:r>
      <w:r w:rsidRPr="00D13B67">
        <w:t xml:space="preserve"> with </w:t>
      </w:r>
      <w:r w:rsidR="00C14ABD" w:rsidRPr="00D13B67">
        <w:t>disabilities</w:t>
      </w:r>
      <w:r w:rsidRPr="00D13B67">
        <w:t xml:space="preserve"> in </w:t>
      </w:r>
      <w:r w:rsidR="00C14ABD" w:rsidRPr="00D13B67">
        <w:t>tertiary education and employment</w:t>
      </w:r>
      <w:r w:rsidRPr="00D13B67">
        <w:t xml:space="preserve">. </w:t>
      </w:r>
      <w:r w:rsidRPr="00D13B67">
        <w:rPr>
          <w:i/>
          <w:iCs/>
        </w:rPr>
        <w:t>Education and Training Policy</w:t>
      </w:r>
      <w:r w:rsidRPr="00D13B67">
        <w:t xml:space="preserve">, </w:t>
      </w:r>
      <w:r w:rsidRPr="00D13B67">
        <w:rPr>
          <w:i/>
          <w:iCs/>
        </w:rPr>
        <w:t>2011</w:t>
      </w:r>
      <w:r w:rsidRPr="00D13B67">
        <w:t xml:space="preserve">. </w:t>
      </w:r>
      <w:hyperlink r:id="rId176" w:history="1">
        <w:r w:rsidRPr="00D13B67">
          <w:rPr>
            <w:rStyle w:val="Hyperlink"/>
          </w:rPr>
          <w:t>https://doi.org/10.1787/9789264097650-en</w:t>
        </w:r>
      </w:hyperlink>
    </w:p>
    <w:p w14:paraId="27435831" w14:textId="77777777" w:rsidR="00065D59" w:rsidRPr="00D13B67" w:rsidRDefault="00065D59" w:rsidP="00305C0E">
      <w:pPr>
        <w:pStyle w:val="Reference"/>
      </w:pPr>
      <w:r w:rsidRPr="00D13B67">
        <w:t xml:space="preserve">Palmquist, S., &amp; </w:t>
      </w:r>
      <w:proofErr w:type="spellStart"/>
      <w:r w:rsidRPr="00D13B67">
        <w:t>Oppmark</w:t>
      </w:r>
      <w:proofErr w:type="spellEnd"/>
      <w:r w:rsidRPr="00D13B67">
        <w:t xml:space="preserve">, J. (2025). How governmental website accessibility affects all users: Adapting Swedish governmental websites’ visual accessibility and how it affects the access to information and services as well as general user experience. </w:t>
      </w:r>
      <w:hyperlink r:id="rId177" w:history="1">
        <w:r w:rsidRPr="00D13B67">
          <w:rPr>
            <w:rStyle w:val="Hyperlink"/>
          </w:rPr>
          <w:t>https://urn.kb.se/resolve?urn=urn:nbn:se:hj:diva-69061</w:t>
        </w:r>
      </w:hyperlink>
    </w:p>
    <w:p w14:paraId="5CC8313A" w14:textId="1605D8F3" w:rsidR="007C38C0" w:rsidRPr="00D13B67" w:rsidRDefault="007C38C0" w:rsidP="00305C0E">
      <w:pPr>
        <w:pStyle w:val="Reference"/>
      </w:pPr>
      <w:r w:rsidRPr="00D13B67">
        <w:t xml:space="preserve">Parsons, J., McColl, M. A., Martin, A. K., &amp; Rynard, D. W. (2021). Accommodations and academic performance: First-year university students with disabilities. </w:t>
      </w:r>
      <w:r w:rsidRPr="00D13B67">
        <w:rPr>
          <w:i/>
        </w:rPr>
        <w:t>Canadian Journal of Higher Education</w:t>
      </w:r>
      <w:r w:rsidRPr="00D13B67">
        <w:t xml:space="preserve">, </w:t>
      </w:r>
      <w:r w:rsidRPr="00D13B67">
        <w:rPr>
          <w:i/>
        </w:rPr>
        <w:t>51</w:t>
      </w:r>
      <w:r w:rsidRPr="00D13B67">
        <w:t>(1), 41–56.</w:t>
      </w:r>
      <w:r w:rsidR="001007F9" w:rsidRPr="00D13B67">
        <w:t xml:space="preserve"> </w:t>
      </w:r>
      <w:hyperlink r:id="rId178" w:history="1">
        <w:r w:rsidR="001007F9" w:rsidRPr="00D13B67">
          <w:rPr>
            <w:rStyle w:val="Hyperlink"/>
          </w:rPr>
          <w:t>https://doi.org/10.47678/cjhe.vi0.188985</w:t>
        </w:r>
      </w:hyperlink>
    </w:p>
    <w:p w14:paraId="6FE8C350" w14:textId="6AC42EDF" w:rsidR="00F46BB6" w:rsidRPr="00D13B67" w:rsidRDefault="00F46BB6" w:rsidP="00305C0E">
      <w:pPr>
        <w:pStyle w:val="Reference"/>
      </w:pPr>
      <w:proofErr w:type="spellStart"/>
      <w:r w:rsidRPr="00D13B67">
        <w:t>Pierrès</w:t>
      </w:r>
      <w:proofErr w:type="spellEnd"/>
      <w:r w:rsidRPr="00D13B67">
        <w:t xml:space="preserve">, O., Schmitt-Koopmann, F., &amp; </w:t>
      </w:r>
      <w:proofErr w:type="spellStart"/>
      <w:r w:rsidRPr="00D13B67">
        <w:t>Darvishy</w:t>
      </w:r>
      <w:proofErr w:type="spellEnd"/>
      <w:r w:rsidRPr="00D13B67">
        <w:t xml:space="preserve">, A. (2024). </w:t>
      </w:r>
      <w:r w:rsidR="00C14ABD" w:rsidRPr="00D13B67">
        <w:t>PDF accessibility</w:t>
      </w:r>
      <w:r w:rsidRPr="00D13B67">
        <w:t xml:space="preserve"> in </w:t>
      </w:r>
      <w:r w:rsidR="00C14ABD" w:rsidRPr="00D13B67">
        <w:t>international academic publishers.</w:t>
      </w:r>
      <w:r w:rsidRPr="00D13B67">
        <w:t xml:space="preserve"> In </w:t>
      </w:r>
      <w:r w:rsidRPr="00D13B67">
        <w:rPr>
          <w:i/>
          <w:iCs/>
        </w:rPr>
        <w:t>Computers Helping People with Special Needs</w:t>
      </w:r>
      <w:r w:rsidRPr="00D13B67">
        <w:t xml:space="preserve"> (Vol. 14750, pp. 38–46). Springer International Publishing AG. </w:t>
      </w:r>
      <w:hyperlink r:id="rId179" w:history="1">
        <w:r w:rsidRPr="00D13B67">
          <w:rPr>
            <w:rStyle w:val="Hyperlink"/>
          </w:rPr>
          <w:t>https://doi.org/10.1007/978-3-031-62846-7_5</w:t>
        </w:r>
      </w:hyperlink>
    </w:p>
    <w:p w14:paraId="3EBACA6A" w14:textId="68AC72CD" w:rsidR="00550ED5" w:rsidRPr="00D13B67" w:rsidRDefault="00550ED5" w:rsidP="00305C0E">
      <w:pPr>
        <w:pStyle w:val="Reference"/>
      </w:pPr>
      <w:r w:rsidRPr="00D13B67">
        <w:rPr>
          <w:rStyle w:val="normaltextrun"/>
          <w:rFonts w:ascii="Aptos" w:hAnsi="Aptos"/>
          <w:color w:val="000000"/>
          <w:shd w:val="clear" w:color="auto" w:fill="FFFFFF"/>
        </w:rPr>
        <w:t>Pinheiro, R., Barroso, J., &amp; Rocha, T. (2021). How Accessibility Is </w:t>
      </w:r>
      <w:proofErr w:type="gramStart"/>
      <w:r w:rsidRPr="00D13B67">
        <w:rPr>
          <w:rStyle w:val="normaltextrun"/>
          <w:rFonts w:ascii="Aptos" w:hAnsi="Aptos"/>
          <w:color w:val="000000"/>
          <w:shd w:val="clear" w:color="auto" w:fill="FFFFFF"/>
        </w:rPr>
        <w:t>For</w:t>
      </w:r>
      <w:proofErr w:type="gramEnd"/>
      <w:r w:rsidRPr="00D13B67">
        <w:rPr>
          <w:rStyle w:val="normaltextrun"/>
          <w:rFonts w:ascii="Aptos" w:hAnsi="Aptos"/>
          <w:color w:val="000000"/>
          <w:shd w:val="clear" w:color="auto" w:fill="FFFFFF"/>
        </w:rPr>
        <w:t> Everyone – A Deaf User Perspective. </w:t>
      </w:r>
      <w:r w:rsidRPr="00D13B67">
        <w:rPr>
          <w:rStyle w:val="normaltextrun"/>
          <w:rFonts w:ascii="Aptos" w:hAnsi="Aptos"/>
          <w:i/>
          <w:iCs/>
          <w:color w:val="000000"/>
          <w:shd w:val="clear" w:color="auto" w:fill="FFFFFF"/>
        </w:rPr>
        <w:t>Proceedings of the 9th International Conference on Software Development and Technologies for Enhancing Accessibility and Fighting Info-Exclusion, DSAI ’20</w:t>
      </w:r>
      <w:r w:rsidRPr="00D13B67">
        <w:rPr>
          <w:rStyle w:val="normaltextrun"/>
          <w:rFonts w:ascii="Aptos" w:hAnsi="Aptos"/>
          <w:color w:val="000000"/>
          <w:shd w:val="clear" w:color="auto" w:fill="FFFFFF"/>
        </w:rPr>
        <w:t>, 47–50. </w:t>
      </w:r>
      <w:hyperlink r:id="rId180" w:tgtFrame="_blank" w:history="1">
        <w:r w:rsidRPr="00D13B67">
          <w:rPr>
            <w:rStyle w:val="normaltextrun"/>
            <w:rFonts w:ascii="Aptos" w:hAnsi="Aptos" w:cs="Segoe UI"/>
            <w:color w:val="467886"/>
            <w:u w:val="single"/>
            <w:shd w:val="clear" w:color="auto" w:fill="FFFFFF"/>
          </w:rPr>
          <w:t>https://doi.org/10.1145/3439231.3440614</w:t>
        </w:r>
      </w:hyperlink>
      <w:r w:rsidRPr="00D13B67">
        <w:rPr>
          <w:rStyle w:val="eop"/>
          <w:rFonts w:ascii="Aptos" w:hAnsi="Aptos"/>
          <w:color w:val="000000"/>
          <w:shd w:val="clear" w:color="auto" w:fill="FFFFFF"/>
        </w:rPr>
        <w:t> </w:t>
      </w:r>
    </w:p>
    <w:p w14:paraId="036A4E53" w14:textId="14639E60" w:rsidR="00F54E77" w:rsidRPr="00D13B67" w:rsidRDefault="00F54E77" w:rsidP="00305C0E">
      <w:pPr>
        <w:pStyle w:val="Reference"/>
      </w:pPr>
      <w:r w:rsidRPr="00D13B67">
        <w:t xml:space="preserve">Pfeiffer, D. (2002). The </w:t>
      </w:r>
      <w:r w:rsidR="00C14ABD" w:rsidRPr="00D13B67">
        <w:t>philosophical foundations</w:t>
      </w:r>
      <w:r w:rsidRPr="00D13B67">
        <w:t xml:space="preserve"> of </w:t>
      </w:r>
      <w:r w:rsidR="00C14ABD" w:rsidRPr="00D13B67">
        <w:t>disability studies</w:t>
      </w:r>
      <w:r w:rsidRPr="00D13B67">
        <w:t xml:space="preserve">. </w:t>
      </w:r>
      <w:r w:rsidRPr="00D13B67">
        <w:rPr>
          <w:i/>
          <w:iCs/>
        </w:rPr>
        <w:t>Disability Studies Quarterly</w:t>
      </w:r>
      <w:r w:rsidRPr="00D13B67">
        <w:t xml:space="preserve">, </w:t>
      </w:r>
      <w:r w:rsidRPr="00D13B67">
        <w:rPr>
          <w:i/>
          <w:iCs/>
        </w:rPr>
        <w:t>22</w:t>
      </w:r>
      <w:r w:rsidRPr="00D13B67">
        <w:t xml:space="preserve">(2). </w:t>
      </w:r>
      <w:hyperlink r:id="rId181" w:history="1">
        <w:r w:rsidRPr="00D13B67">
          <w:rPr>
            <w:rStyle w:val="Hyperlink"/>
          </w:rPr>
          <w:t>https://doi.org/10.18061/dsq.v22i2.341</w:t>
        </w:r>
      </w:hyperlink>
    </w:p>
    <w:p w14:paraId="071576EF" w14:textId="77777777" w:rsidR="002D36CB" w:rsidRPr="00D13B67" w:rsidRDefault="002D36CB" w:rsidP="00305C0E">
      <w:pPr>
        <w:pStyle w:val="Reference"/>
      </w:pPr>
      <w:r w:rsidRPr="00D13B67">
        <w:t xml:space="preserve">Presley, L. &amp; Statistics Canada. (2025, January 27). </w:t>
      </w:r>
      <w:r w:rsidRPr="00D13B67">
        <w:rPr>
          <w:i/>
          <w:iCs/>
        </w:rPr>
        <w:t>Education and employment experiences of youth with disabilities, 2022</w:t>
      </w:r>
      <w:r w:rsidRPr="00D13B67">
        <w:t xml:space="preserve">. Statistics Canada. </w:t>
      </w:r>
      <w:hyperlink r:id="rId182" w:history="1">
        <w:r w:rsidRPr="00D13B67">
          <w:rPr>
            <w:rStyle w:val="Hyperlink"/>
          </w:rPr>
          <w:t>https://www150.statcan.gc.ca/n1/pub/89-654-x/89-654-x2025001-eng.htm</w:t>
        </w:r>
      </w:hyperlink>
    </w:p>
    <w:p w14:paraId="055534DB" w14:textId="1E7B205E" w:rsidR="00CF497F" w:rsidRPr="00D13B67" w:rsidRDefault="00CF497F" w:rsidP="00305C0E">
      <w:pPr>
        <w:pStyle w:val="Reference"/>
      </w:pPr>
      <w:proofErr w:type="spellStart"/>
      <w:r w:rsidRPr="00D13B67">
        <w:t>Ponterotto</w:t>
      </w:r>
      <w:proofErr w:type="spellEnd"/>
      <w:r w:rsidRPr="00D13B67">
        <w:t xml:space="preserve">, J. (2006). Brief </w:t>
      </w:r>
      <w:r w:rsidR="00C14ABD" w:rsidRPr="00D13B67">
        <w:t>note</w:t>
      </w:r>
      <w:r w:rsidRPr="00D13B67">
        <w:t xml:space="preserve"> on the </w:t>
      </w:r>
      <w:r w:rsidR="00C14ABD" w:rsidRPr="00D13B67">
        <w:t>origins, evolution</w:t>
      </w:r>
      <w:r w:rsidRPr="00D13B67">
        <w:t xml:space="preserve">, and </w:t>
      </w:r>
      <w:r w:rsidR="00C14ABD" w:rsidRPr="00D13B67">
        <w:t>meaning</w:t>
      </w:r>
      <w:r w:rsidRPr="00D13B67">
        <w:t xml:space="preserve"> of the </w:t>
      </w:r>
      <w:r w:rsidR="00C14ABD" w:rsidRPr="00D13B67">
        <w:t>qualitative research concept thick description</w:t>
      </w:r>
      <w:r w:rsidRPr="00D13B67">
        <w:t xml:space="preserve">. </w:t>
      </w:r>
      <w:r w:rsidRPr="00D13B67">
        <w:rPr>
          <w:i/>
          <w:iCs/>
        </w:rPr>
        <w:t>The Qualitative Report</w:t>
      </w:r>
      <w:r w:rsidRPr="00D13B67">
        <w:t xml:space="preserve">, </w:t>
      </w:r>
      <w:r w:rsidRPr="00D13B67">
        <w:rPr>
          <w:i/>
          <w:iCs/>
        </w:rPr>
        <w:t>11</w:t>
      </w:r>
      <w:r w:rsidRPr="00D13B67">
        <w:t xml:space="preserve">(3), 538–549. </w:t>
      </w:r>
      <w:hyperlink r:id="rId183" w:history="1">
        <w:r w:rsidRPr="00D13B67">
          <w:rPr>
            <w:rStyle w:val="Hyperlink"/>
          </w:rPr>
          <w:t>https://doi.org/10.46743/2160-3715/2006.1666</w:t>
        </w:r>
      </w:hyperlink>
    </w:p>
    <w:p w14:paraId="5CA5DC15" w14:textId="77777777" w:rsidR="5378E11C" w:rsidRPr="00D13B67" w:rsidRDefault="5378E11C" w:rsidP="00305C0E">
      <w:pPr>
        <w:pStyle w:val="Reference"/>
      </w:pPr>
      <w:r w:rsidRPr="00D13B67">
        <w:lastRenderedPageBreak/>
        <w:t xml:space="preserve">Potts, A., Bednarek, M. A., &amp; </w:t>
      </w:r>
      <w:proofErr w:type="spellStart"/>
      <w:r w:rsidRPr="00D13B67">
        <w:t>Watharow</w:t>
      </w:r>
      <w:proofErr w:type="spellEnd"/>
      <w:r w:rsidRPr="00D13B67">
        <w:t xml:space="preserve">, A. (2023). Super, social, medical: Person-first and identity-first representations of disabled people in Australian newspapers, 2000–2019. </w:t>
      </w:r>
      <w:r w:rsidRPr="00D13B67">
        <w:rPr>
          <w:i/>
          <w:iCs/>
        </w:rPr>
        <w:t>Discourse &amp; Society, 34</w:t>
      </w:r>
      <w:r w:rsidRPr="00D13B67">
        <w:t xml:space="preserve">(4), 405–428. </w:t>
      </w:r>
      <w:hyperlink r:id="rId184">
        <w:r w:rsidRPr="00D13B67">
          <w:rPr>
            <w:rStyle w:val="Hyperlink"/>
          </w:rPr>
          <w:t>https://doi.org/10.1177/09579265231156504</w:t>
        </w:r>
      </w:hyperlink>
    </w:p>
    <w:p w14:paraId="2568608F" w14:textId="77777777" w:rsidR="00C412B6" w:rsidRPr="00D13B67" w:rsidRDefault="00C412B6" w:rsidP="00305C0E">
      <w:pPr>
        <w:pStyle w:val="Reference"/>
      </w:pPr>
      <w:r w:rsidRPr="00D13B67">
        <w:t xml:space="preserve">Power, C., Freire, A., Petrie, H., &amp; Swallow, D. (2012). Guidelines are only half of the story: Accessibility problems encountered by blind users on the web. </w:t>
      </w:r>
      <w:r w:rsidRPr="00D13B67">
        <w:rPr>
          <w:i/>
          <w:iCs/>
        </w:rPr>
        <w:t>Proceedings of the SIGCHI Conference on Human Factors in Computing Systems, CHI ’12</w:t>
      </w:r>
      <w:r w:rsidRPr="00D13B67">
        <w:t xml:space="preserve">, 433–442. </w:t>
      </w:r>
      <w:hyperlink r:id="rId185" w:history="1">
        <w:r w:rsidRPr="00D13B67">
          <w:rPr>
            <w:rStyle w:val="Hyperlink"/>
          </w:rPr>
          <w:t>https://doi.org/10.1145/2207676.2207736</w:t>
        </w:r>
      </w:hyperlink>
    </w:p>
    <w:p w14:paraId="18616010" w14:textId="77777777" w:rsidR="00C412B6" w:rsidRPr="00D13B67" w:rsidRDefault="00C412B6" w:rsidP="00305C0E">
      <w:pPr>
        <w:pStyle w:val="Reference"/>
      </w:pPr>
      <w:proofErr w:type="spellStart"/>
      <w:r w:rsidRPr="00D13B67">
        <w:t>Prosmitskiy</w:t>
      </w:r>
      <w:proofErr w:type="spellEnd"/>
      <w:r w:rsidRPr="00D13B67">
        <w:t xml:space="preserve">, M. (2025). </w:t>
      </w:r>
      <w:r w:rsidRPr="00D13B67">
        <w:rPr>
          <w:i/>
          <w:iCs/>
        </w:rPr>
        <w:t xml:space="preserve">WCAG 3.0’s Proposed Scoring Model: A Shift </w:t>
      </w:r>
      <w:proofErr w:type="gramStart"/>
      <w:r w:rsidRPr="00D13B67">
        <w:rPr>
          <w:i/>
          <w:iCs/>
        </w:rPr>
        <w:t>In</w:t>
      </w:r>
      <w:proofErr w:type="gramEnd"/>
      <w:r w:rsidRPr="00D13B67">
        <w:rPr>
          <w:i/>
          <w:iCs/>
        </w:rPr>
        <w:t xml:space="preserve"> Accessibility Evaluation</w:t>
      </w:r>
      <w:r w:rsidRPr="00D13B67">
        <w:t xml:space="preserve">. Smashing Magazine. </w:t>
      </w:r>
      <w:hyperlink r:id="rId186" w:history="1">
        <w:r w:rsidRPr="00D13B67">
          <w:rPr>
            <w:rStyle w:val="Hyperlink"/>
          </w:rPr>
          <w:t>https://www.smashingmagazine.com/2025/05/wcag-3-proposed-scoring-model-shift-accessibility-evaluation/</w:t>
        </w:r>
      </w:hyperlink>
    </w:p>
    <w:p w14:paraId="2EF0937C" w14:textId="266A8F44" w:rsidR="000F768D" w:rsidRPr="00D13B67" w:rsidRDefault="009952FA" w:rsidP="00305C0E">
      <w:pPr>
        <w:pStyle w:val="Reference"/>
      </w:pPr>
      <w:r w:rsidRPr="00D13B67">
        <w:t xml:space="preserve">Quirke, M., &amp; Galvin, T. (2025). Universal </w:t>
      </w:r>
      <w:r w:rsidR="00C14ABD" w:rsidRPr="00D13B67">
        <w:t>design</w:t>
      </w:r>
      <w:r w:rsidRPr="00D13B67">
        <w:t xml:space="preserve"> for </w:t>
      </w:r>
      <w:r w:rsidR="00C14ABD" w:rsidRPr="00D13B67">
        <w:t>learning</w:t>
      </w:r>
      <w:r w:rsidRPr="00D13B67">
        <w:t xml:space="preserve"> and the </w:t>
      </w:r>
      <w:r w:rsidR="00C14ABD" w:rsidRPr="00D13B67">
        <w:t xml:space="preserve">sustainable development goals: reimagining inclusive education – an </w:t>
      </w:r>
      <w:proofErr w:type="spellStart"/>
      <w:r w:rsidR="00C14ABD" w:rsidRPr="00D13B67">
        <w:t>alice</w:t>
      </w:r>
      <w:proofErr w:type="spellEnd"/>
      <w:r w:rsidRPr="00D13B67">
        <w:t xml:space="preserve"> in </w:t>
      </w:r>
      <w:r w:rsidR="00C14ABD" w:rsidRPr="00D13B67">
        <w:t>wonderland journey</w:t>
      </w:r>
      <w:r w:rsidRPr="00D13B67">
        <w:t xml:space="preserve">. </w:t>
      </w:r>
      <w:r w:rsidRPr="00D13B67">
        <w:rPr>
          <w:i/>
          <w:iCs/>
        </w:rPr>
        <w:t>European Journal of Inclusive Education</w:t>
      </w:r>
      <w:r w:rsidRPr="00D13B67">
        <w:t xml:space="preserve">, </w:t>
      </w:r>
      <w:r w:rsidRPr="00D13B67">
        <w:rPr>
          <w:i/>
          <w:iCs/>
        </w:rPr>
        <w:t>4</w:t>
      </w:r>
      <w:r w:rsidRPr="00D13B67">
        <w:t xml:space="preserve">(1), 99–113. </w:t>
      </w:r>
      <w:hyperlink r:id="rId187" w:history="1">
        <w:r w:rsidRPr="00D13B67">
          <w:rPr>
            <w:rStyle w:val="Hyperlink"/>
          </w:rPr>
          <w:t>https://doi.org/10.7146/ejie.v4i1.150454</w:t>
        </w:r>
      </w:hyperlink>
    </w:p>
    <w:p w14:paraId="7208F729" w14:textId="30986786" w:rsidR="00E028AD" w:rsidRPr="00D13B67" w:rsidRDefault="00E028AD" w:rsidP="00305C0E">
      <w:pPr>
        <w:pStyle w:val="Reference"/>
      </w:pPr>
      <w:r w:rsidRPr="00D13B67">
        <w:t xml:space="preserve">Rao, J. N. K., &amp; Fuller, W. A. (2017). Sample survey theory and methods: Past, present, and future directions. </w:t>
      </w:r>
      <w:hyperlink r:id="rId188" w:history="1">
        <w:r w:rsidRPr="00D13B67">
          <w:rPr>
            <w:rStyle w:val="Hyperlink"/>
          </w:rPr>
          <w:t>https://www150.statcan.gc.ca/n1/pub/12-001-x/2017002/article/54888-eng.htm</w:t>
        </w:r>
      </w:hyperlink>
    </w:p>
    <w:p w14:paraId="131688B1" w14:textId="1E5FD3BA" w:rsidR="003C4BD3" w:rsidRPr="00D13B67" w:rsidRDefault="003C4BD3" w:rsidP="00305C0E">
      <w:pPr>
        <w:pStyle w:val="Reference"/>
      </w:pPr>
      <w:r w:rsidRPr="00D13B67">
        <w:t xml:space="preserve">Rapoport, R. N. (1970). Three </w:t>
      </w:r>
      <w:r w:rsidR="00C14ABD" w:rsidRPr="00D13B67">
        <w:t>dilemmas</w:t>
      </w:r>
      <w:r w:rsidRPr="00D13B67">
        <w:t xml:space="preserve"> in </w:t>
      </w:r>
      <w:r w:rsidR="00C14ABD" w:rsidRPr="00D13B67">
        <w:t>action research</w:t>
      </w:r>
      <w:r w:rsidRPr="00D13B67">
        <w:t xml:space="preserve">: With </w:t>
      </w:r>
      <w:r w:rsidR="00C14ABD" w:rsidRPr="00D13B67">
        <w:t>special reference</w:t>
      </w:r>
      <w:r w:rsidRPr="00D13B67">
        <w:t xml:space="preserve"> to the Tavistock </w:t>
      </w:r>
      <w:r w:rsidR="00C14ABD" w:rsidRPr="00D13B67">
        <w:t>experience</w:t>
      </w:r>
      <w:r w:rsidRPr="00D13B67">
        <w:t xml:space="preserve">. </w:t>
      </w:r>
      <w:r w:rsidRPr="00D13B67">
        <w:rPr>
          <w:i/>
          <w:iCs/>
        </w:rPr>
        <w:t>Human Relations</w:t>
      </w:r>
      <w:r w:rsidRPr="00D13B67">
        <w:t xml:space="preserve">, </w:t>
      </w:r>
      <w:r w:rsidRPr="00D13B67">
        <w:rPr>
          <w:i/>
          <w:iCs/>
        </w:rPr>
        <w:t>23</w:t>
      </w:r>
      <w:r w:rsidRPr="00D13B67">
        <w:t xml:space="preserve">(6), 499–513. </w:t>
      </w:r>
      <w:hyperlink r:id="rId189" w:history="1">
        <w:r w:rsidRPr="00D13B67">
          <w:rPr>
            <w:rStyle w:val="Hyperlink"/>
          </w:rPr>
          <w:t>https://doi.org/10.1177/001872677002300601</w:t>
        </w:r>
      </w:hyperlink>
    </w:p>
    <w:p w14:paraId="27C7699C" w14:textId="10B77611" w:rsidR="00533BA5" w:rsidRPr="00D13B67" w:rsidRDefault="00533BA5" w:rsidP="00305C0E">
      <w:pPr>
        <w:pStyle w:val="Reference"/>
      </w:pPr>
      <w:r w:rsidRPr="00D13B67">
        <w:t xml:space="preserve">Read, A. (2024). Building inclusive </w:t>
      </w:r>
      <w:r w:rsidR="00C14ABD" w:rsidRPr="00D13B67">
        <w:t xml:space="preserve">learning development </w:t>
      </w:r>
      <w:r w:rsidRPr="00D13B67">
        <w:t xml:space="preserve">spaces ‘…but we don’t have time for universal design.’ </w:t>
      </w:r>
      <w:r w:rsidRPr="00D13B67">
        <w:rPr>
          <w:i/>
          <w:iCs/>
        </w:rPr>
        <w:t>Journal of Learning Development in Higher Education</w:t>
      </w:r>
      <w:r w:rsidRPr="00D13B67">
        <w:t xml:space="preserve">, (32). </w:t>
      </w:r>
      <w:hyperlink r:id="rId190" w:history="1">
        <w:r w:rsidR="001007F9" w:rsidRPr="00D13B67">
          <w:rPr>
            <w:rStyle w:val="Hyperlink"/>
          </w:rPr>
          <w:t>https://doi.org/10.47408/jldhe.vi32.1463</w:t>
        </w:r>
      </w:hyperlink>
    </w:p>
    <w:p w14:paraId="744C1256" w14:textId="45E2DD99" w:rsidR="00C412B6" w:rsidRPr="00D13B67" w:rsidRDefault="00C412B6" w:rsidP="00305C0E">
      <w:pPr>
        <w:pStyle w:val="Reference"/>
      </w:pPr>
      <w:r w:rsidRPr="00D13B67">
        <w:t xml:space="preserve">Rehabilitation Act of 1973, H.R. 8070 (1973). </w:t>
      </w:r>
      <w:hyperlink r:id="rId191" w:history="1">
        <w:r w:rsidRPr="00D13B67">
          <w:rPr>
            <w:rStyle w:val="Hyperlink"/>
          </w:rPr>
          <w:t>https://www.congress.gov/bill/93rd-congress/house-bill/8070</w:t>
        </w:r>
      </w:hyperlink>
    </w:p>
    <w:p w14:paraId="3C910E4E" w14:textId="7E7547AF" w:rsidR="00F1617B" w:rsidRPr="00D13B67" w:rsidRDefault="00F1617B" w:rsidP="00305C0E">
      <w:pPr>
        <w:pStyle w:val="Reference"/>
      </w:pPr>
      <w:r w:rsidRPr="00D13B67">
        <w:t xml:space="preserve">Reyes, J. I., Meneses, J., &amp; </w:t>
      </w:r>
      <w:proofErr w:type="spellStart"/>
      <w:r w:rsidRPr="00D13B67">
        <w:t>Melián</w:t>
      </w:r>
      <w:proofErr w:type="spellEnd"/>
      <w:r w:rsidRPr="00D13B67">
        <w:t xml:space="preserve">, E. (2022). A systematic review of academic interventions for students with disabilities in Online Higher Education. </w:t>
      </w:r>
      <w:r w:rsidRPr="00D13B67">
        <w:rPr>
          <w:i/>
          <w:iCs/>
        </w:rPr>
        <w:t>European Journal of Special Needs Education</w:t>
      </w:r>
      <w:r w:rsidRPr="00D13B67">
        <w:t xml:space="preserve">, </w:t>
      </w:r>
      <w:r w:rsidRPr="00D13B67">
        <w:rPr>
          <w:i/>
          <w:iCs/>
        </w:rPr>
        <w:t>37</w:t>
      </w:r>
      <w:r w:rsidRPr="00D13B67">
        <w:t xml:space="preserve">(4), 569–586. </w:t>
      </w:r>
      <w:hyperlink r:id="rId192" w:history="1">
        <w:r w:rsidRPr="00D13B67">
          <w:rPr>
            <w:rStyle w:val="Hyperlink"/>
          </w:rPr>
          <w:t>https://doi.org/10.1080/08856257.2021.1911525</w:t>
        </w:r>
      </w:hyperlink>
    </w:p>
    <w:p w14:paraId="2BC11650" w14:textId="6C11D599" w:rsidR="00F260D1" w:rsidRPr="00D13B67" w:rsidRDefault="00F260D1" w:rsidP="00305C0E">
      <w:pPr>
        <w:pStyle w:val="Reference"/>
      </w:pPr>
      <w:r w:rsidRPr="00D13B67">
        <w:lastRenderedPageBreak/>
        <w:t xml:space="preserve">Roberts, J. B., Crittenden, L. A., &amp; Crittenden, J. C. (2011). Students with disabilities and online learning: A cross-institutional study of perceived satisfaction with accessibility compliance and services. </w:t>
      </w:r>
      <w:r w:rsidRPr="00D13B67">
        <w:rPr>
          <w:i/>
          <w:iCs/>
        </w:rPr>
        <w:t>The Internet and Higher Education</w:t>
      </w:r>
      <w:r w:rsidRPr="00D13B67">
        <w:t xml:space="preserve">, </w:t>
      </w:r>
      <w:r w:rsidRPr="00D13B67">
        <w:rPr>
          <w:i/>
          <w:iCs/>
        </w:rPr>
        <w:t>14</w:t>
      </w:r>
      <w:r w:rsidRPr="00D13B67">
        <w:t xml:space="preserve">(4), 242–250. </w:t>
      </w:r>
      <w:hyperlink r:id="rId193" w:history="1">
        <w:r w:rsidRPr="00D13B67">
          <w:rPr>
            <w:rStyle w:val="Hyperlink"/>
          </w:rPr>
          <w:t>https://doi.org/10.1016/j.iheduc.2011.05.004</w:t>
        </w:r>
      </w:hyperlink>
    </w:p>
    <w:p w14:paraId="10AC0087" w14:textId="143D46E2" w:rsidR="009952FA" w:rsidRPr="00D13B67" w:rsidRDefault="003C0409" w:rsidP="00305C0E">
      <w:pPr>
        <w:pStyle w:val="Reference"/>
      </w:pPr>
      <w:r w:rsidRPr="00D13B67">
        <w:t>Rose, T. (2017). The end of average: How to succeed in a world that values sameness. Penguin Books.</w:t>
      </w:r>
    </w:p>
    <w:p w14:paraId="29565C62" w14:textId="5EC7AD3D" w:rsidR="00D765A1" w:rsidRPr="00D13B67" w:rsidRDefault="00D765A1" w:rsidP="00305C0E">
      <w:pPr>
        <w:pStyle w:val="Reference"/>
      </w:pPr>
      <w:r w:rsidRPr="00D13B67">
        <w:t xml:space="preserve">Rowland, C. (2023). History of the </w:t>
      </w:r>
      <w:r w:rsidR="00C14ABD" w:rsidRPr="00D13B67">
        <w:t>known: Digital accessibility</w:t>
      </w:r>
      <w:r w:rsidRPr="00D13B67">
        <w:t xml:space="preserve"> as an </w:t>
      </w:r>
      <w:r w:rsidR="00C14ABD" w:rsidRPr="00D13B67">
        <w:t>issue</w:t>
      </w:r>
      <w:r w:rsidRPr="00D13B67">
        <w:t xml:space="preserve"> of </w:t>
      </w:r>
      <w:r w:rsidR="00C14ABD" w:rsidRPr="00D13B67">
        <w:t>social justice</w:t>
      </w:r>
      <w:r w:rsidRPr="00D13B67">
        <w:t xml:space="preserve"> in U.S. </w:t>
      </w:r>
      <w:r w:rsidR="00C14ABD" w:rsidRPr="00D13B67">
        <w:t>education.</w:t>
      </w:r>
      <w:r w:rsidRPr="00D13B67">
        <w:t xml:space="preserve"> In R. Mancilla &amp; B. A. Frey (Eds.), </w:t>
      </w:r>
      <w:r w:rsidRPr="00D13B67">
        <w:rPr>
          <w:i/>
          <w:iCs/>
        </w:rPr>
        <w:t>Guide to Digital Accessibility: Policies, Practices, and Professional Development</w:t>
      </w:r>
      <w:r w:rsidRPr="00D13B67">
        <w:t>. Taylor &amp; Francis.</w:t>
      </w:r>
    </w:p>
    <w:p w14:paraId="7122D957" w14:textId="44B80E40" w:rsidR="00D765A1" w:rsidRPr="00D13B67" w:rsidRDefault="00D765A1" w:rsidP="00305C0E">
      <w:pPr>
        <w:pStyle w:val="Reference"/>
      </w:pPr>
      <w:r w:rsidRPr="00D13B67">
        <w:t xml:space="preserve">Saleh, A. M., </w:t>
      </w:r>
      <w:proofErr w:type="spellStart"/>
      <w:r w:rsidRPr="00D13B67">
        <w:t>Abuaddous</w:t>
      </w:r>
      <w:proofErr w:type="spellEnd"/>
      <w:r w:rsidRPr="00D13B67">
        <w:t xml:space="preserve">, Hayfa. Y., Alansari, I. S., &amp; </w:t>
      </w:r>
      <w:proofErr w:type="spellStart"/>
      <w:r w:rsidRPr="00D13B67">
        <w:t>Enaizan</w:t>
      </w:r>
      <w:proofErr w:type="spellEnd"/>
      <w:r w:rsidRPr="00D13B67">
        <w:t xml:space="preserve">, O. (2022). </w:t>
      </w:r>
      <w:r w:rsidR="00C14ABD" w:rsidRPr="00D13B67">
        <w:t>The evaluation</w:t>
      </w:r>
      <w:r w:rsidRPr="00D13B67">
        <w:t xml:space="preserve"> of </w:t>
      </w:r>
      <w:r w:rsidR="00C14ABD" w:rsidRPr="00D13B67">
        <w:t>user experience</w:t>
      </w:r>
      <w:r w:rsidRPr="00D13B67">
        <w:t xml:space="preserve"> of </w:t>
      </w:r>
      <w:r w:rsidR="00C14ABD" w:rsidRPr="00D13B67">
        <w:t xml:space="preserve">learning management systems using </w:t>
      </w:r>
      <w:r w:rsidRPr="00D13B67">
        <w:t xml:space="preserve">UEQ. </w:t>
      </w:r>
      <w:r w:rsidRPr="00D13B67">
        <w:rPr>
          <w:i/>
          <w:iCs/>
        </w:rPr>
        <w:t>International Journal of Emerging Technologies in Learning</w:t>
      </w:r>
      <w:r w:rsidRPr="00D13B67">
        <w:t xml:space="preserve">, </w:t>
      </w:r>
      <w:r w:rsidRPr="00D13B67">
        <w:rPr>
          <w:i/>
          <w:iCs/>
        </w:rPr>
        <w:t>17</w:t>
      </w:r>
      <w:r w:rsidRPr="00D13B67">
        <w:t xml:space="preserve">(7), 145–162. </w:t>
      </w:r>
      <w:hyperlink r:id="rId194" w:history="1">
        <w:r w:rsidRPr="00D13B67">
          <w:rPr>
            <w:rStyle w:val="Hyperlink"/>
          </w:rPr>
          <w:t>https://doi.org/10.3991/ijet.v17i07.29525</w:t>
        </w:r>
      </w:hyperlink>
    </w:p>
    <w:p w14:paraId="19CBCA67" w14:textId="4C86BB54" w:rsidR="00B95B3B" w:rsidRPr="00D13B67" w:rsidRDefault="00B95B3B" w:rsidP="00305C0E">
      <w:pPr>
        <w:pStyle w:val="Reference"/>
      </w:pPr>
      <w:proofErr w:type="spellStart"/>
      <w:r w:rsidRPr="00D13B67">
        <w:t>Saltes</w:t>
      </w:r>
      <w:proofErr w:type="spellEnd"/>
      <w:r w:rsidRPr="00D13B67">
        <w:t xml:space="preserve">, N. (2020). Disability </w:t>
      </w:r>
      <w:r w:rsidR="00C14ABD" w:rsidRPr="00D13B67">
        <w:t>barriers</w:t>
      </w:r>
      <w:r w:rsidRPr="00D13B67">
        <w:t xml:space="preserve"> in </w:t>
      </w:r>
      <w:r w:rsidR="00C14ABD" w:rsidRPr="00D13B67">
        <w:t>academia</w:t>
      </w:r>
      <w:r w:rsidRPr="00D13B67">
        <w:t xml:space="preserve">: An </w:t>
      </w:r>
      <w:r w:rsidR="00C14ABD" w:rsidRPr="00D13B67">
        <w:t>analysis of disability accommodation policies</w:t>
      </w:r>
      <w:r w:rsidRPr="00D13B67">
        <w:t xml:space="preserve"> for </w:t>
      </w:r>
      <w:r w:rsidR="00C14ABD" w:rsidRPr="00D13B67">
        <w:t>faculty</w:t>
      </w:r>
      <w:r w:rsidRPr="00D13B67">
        <w:t xml:space="preserve"> at Canadian </w:t>
      </w:r>
      <w:r w:rsidR="00C14ABD" w:rsidRPr="00D13B67">
        <w:t>universities</w:t>
      </w:r>
      <w:r w:rsidRPr="00D13B67">
        <w:t xml:space="preserve">. </w:t>
      </w:r>
      <w:r w:rsidRPr="00D13B67">
        <w:rPr>
          <w:i/>
          <w:iCs/>
        </w:rPr>
        <w:t>Canadian Journal of Disability Studies</w:t>
      </w:r>
      <w:r w:rsidRPr="00D13B67">
        <w:t xml:space="preserve">, </w:t>
      </w:r>
      <w:r w:rsidRPr="00D13B67">
        <w:rPr>
          <w:i/>
          <w:iCs/>
        </w:rPr>
        <w:t>9</w:t>
      </w:r>
      <w:r w:rsidRPr="00D13B67">
        <w:t xml:space="preserve">(1), 53–90. </w:t>
      </w:r>
      <w:hyperlink r:id="rId195" w:history="1">
        <w:r w:rsidRPr="00D13B67">
          <w:rPr>
            <w:rStyle w:val="Hyperlink"/>
          </w:rPr>
          <w:t>https://doi.org/10.15353/cjds.v9i1.596</w:t>
        </w:r>
      </w:hyperlink>
    </w:p>
    <w:p w14:paraId="2E636208" w14:textId="5A49B8F9" w:rsidR="00DF7CA5" w:rsidRPr="00D13B67" w:rsidRDefault="00C638B7" w:rsidP="00305C0E">
      <w:pPr>
        <w:pStyle w:val="Reference"/>
      </w:pPr>
      <w:r w:rsidRPr="00D13B67">
        <w:t xml:space="preserve">Sanderson, N. C., Kessel, S., &amp; Chen, W. (2022). What do faculty members know about universal design and digital accessibility? A qualitative study in computer science and engineering disciplines. </w:t>
      </w:r>
      <w:r w:rsidRPr="00D13B67">
        <w:rPr>
          <w:i/>
          <w:iCs/>
        </w:rPr>
        <w:t>Universal Access in the Information Society, 21</w:t>
      </w:r>
      <w:r w:rsidRPr="00D13B67">
        <w:t xml:space="preserve">(2), 351–365. (35370532). </w:t>
      </w:r>
      <w:hyperlink r:id="rId196" w:history="1">
        <w:r w:rsidRPr="00D13B67">
          <w:rPr>
            <w:rStyle w:val="Hyperlink"/>
          </w:rPr>
          <w:t>https://doi.org/10.1007/s10209-022-00875-x</w:t>
        </w:r>
      </w:hyperlink>
    </w:p>
    <w:p w14:paraId="0AE36C25" w14:textId="4B434994" w:rsidR="004F1BD9" w:rsidRPr="00D13B67" w:rsidRDefault="004F1BD9" w:rsidP="00305C0E">
      <w:pPr>
        <w:pStyle w:val="Reference"/>
      </w:pPr>
      <w:r w:rsidRPr="00D13B67">
        <w:t xml:space="preserve">Schmutz, S., Sonderegger, A., &amp; Sauer, J. (2016). Implementing recommendations from </w:t>
      </w:r>
      <w:r w:rsidR="00C14ABD" w:rsidRPr="00D13B67">
        <w:t>w</w:t>
      </w:r>
      <w:r w:rsidRPr="00D13B67">
        <w:t xml:space="preserve">eb accessibility guidelines: Would they also provide benefits to nondisabled users. </w:t>
      </w:r>
      <w:r w:rsidRPr="00D13B67">
        <w:rPr>
          <w:i/>
          <w:iCs/>
        </w:rPr>
        <w:t>Human Factors</w:t>
      </w:r>
      <w:r w:rsidRPr="00D13B67">
        <w:t xml:space="preserve">, </w:t>
      </w:r>
      <w:r w:rsidRPr="00D13B67">
        <w:rPr>
          <w:i/>
          <w:iCs/>
        </w:rPr>
        <w:t>58</w:t>
      </w:r>
      <w:r w:rsidRPr="00D13B67">
        <w:t xml:space="preserve">(4), 611–629. (2016-22978-008). </w:t>
      </w:r>
      <w:hyperlink r:id="rId197" w:history="1">
        <w:r w:rsidRPr="00D13B67">
          <w:rPr>
            <w:rStyle w:val="Hyperlink"/>
          </w:rPr>
          <w:t>https://doi.org/10.1177/0018720816640962</w:t>
        </w:r>
      </w:hyperlink>
    </w:p>
    <w:p w14:paraId="248A7E32" w14:textId="0842DD7C" w:rsidR="00AF2BD5" w:rsidRPr="00D13B67" w:rsidRDefault="00D765A1" w:rsidP="00305C0E">
      <w:pPr>
        <w:pStyle w:val="Reference"/>
      </w:pPr>
      <w:r w:rsidRPr="00D13B67">
        <w:t xml:space="preserve">Sciarretta, E. (2025). Inclusive </w:t>
      </w:r>
      <w:r w:rsidR="00C14ABD" w:rsidRPr="00D13B67">
        <w:t>education</w:t>
      </w:r>
      <w:r w:rsidRPr="00D13B67">
        <w:t xml:space="preserve">: Is </w:t>
      </w:r>
      <w:r w:rsidR="00C14ABD" w:rsidRPr="00D13B67">
        <w:t>applying web content accessibility guidelines</w:t>
      </w:r>
      <w:r w:rsidRPr="00D13B67">
        <w:t xml:space="preserve"> to </w:t>
      </w:r>
      <w:r w:rsidR="00C14ABD" w:rsidRPr="00D13B67">
        <w:t>digital learning materials enough</w:t>
      </w:r>
      <w:r w:rsidRPr="00D13B67">
        <w:t xml:space="preserve">? </w:t>
      </w:r>
      <w:r w:rsidRPr="00D13B67">
        <w:rPr>
          <w:i/>
          <w:iCs/>
        </w:rPr>
        <w:t>European</w:t>
      </w:r>
      <w:r w:rsidR="00AF2BD5" w:rsidRPr="00D13B67">
        <w:rPr>
          <w:i/>
          <w:iCs/>
        </w:rPr>
        <w:t xml:space="preserve"> Journal of Education</w:t>
      </w:r>
      <w:r w:rsidR="00AF2BD5" w:rsidRPr="00D13B67">
        <w:t xml:space="preserve">, 60(2), e70104. </w:t>
      </w:r>
      <w:hyperlink r:id="rId198" w:history="1">
        <w:r w:rsidR="00AF2BD5" w:rsidRPr="00D13B67">
          <w:rPr>
            <w:rStyle w:val="Hyperlink"/>
          </w:rPr>
          <w:t>https://doi.org/10.1111/ejed.70104</w:t>
        </w:r>
      </w:hyperlink>
    </w:p>
    <w:p w14:paraId="3D1DF0DC" w14:textId="7C0B50DD" w:rsidR="00543CF3" w:rsidRPr="00D13B67" w:rsidRDefault="00543CF3" w:rsidP="00305C0E">
      <w:pPr>
        <w:pStyle w:val="Reference"/>
      </w:pPr>
      <w:r w:rsidRPr="00D13B67">
        <w:t xml:space="preserve">Senate of the Republic of Poland. (2024). Constitutions. </w:t>
      </w:r>
      <w:r w:rsidRPr="00D13B67">
        <w:rPr>
          <w:i/>
          <w:iCs/>
        </w:rPr>
        <w:t>Notes on the Senate</w:t>
      </w:r>
      <w:r w:rsidRPr="00D13B67">
        <w:t xml:space="preserve">. </w:t>
      </w:r>
      <w:hyperlink r:id="rId199" w:history="1">
        <w:r w:rsidRPr="00D13B67">
          <w:rPr>
            <w:rStyle w:val="Hyperlink"/>
          </w:rPr>
          <w:t>http://www.senat.gov.pl/gfx/senat/userfiles/_public/k11eng/noty/04/24_04_24_en.pdf</w:t>
        </w:r>
      </w:hyperlink>
    </w:p>
    <w:p w14:paraId="2133D68D" w14:textId="0EA66789" w:rsidR="00514D70" w:rsidRPr="00D13B67" w:rsidRDefault="4B294385" w:rsidP="00305C0E">
      <w:pPr>
        <w:pStyle w:val="Reference"/>
      </w:pPr>
      <w:r w:rsidRPr="00D13B67">
        <w:lastRenderedPageBreak/>
        <w:t xml:space="preserve">Sharif, A., McCall, A. L., &amp; Bolante, K. R. (2022). Should </w:t>
      </w:r>
      <w:r w:rsidR="00E97B62" w:rsidRPr="00D13B67">
        <w:t>I</w:t>
      </w:r>
      <w:r w:rsidR="00C14ABD" w:rsidRPr="00D13B67">
        <w:t xml:space="preserve"> </w:t>
      </w:r>
      <w:proofErr w:type="gramStart"/>
      <w:r w:rsidR="00C14ABD" w:rsidRPr="00D13B67">
        <w:t>say</w:t>
      </w:r>
      <w:proofErr w:type="gramEnd"/>
      <w:r w:rsidR="00C14ABD" w:rsidRPr="00D13B67">
        <w:t xml:space="preserve"> “disabled people</w:t>
      </w:r>
      <w:r w:rsidRPr="00D13B67">
        <w:t>” or “</w:t>
      </w:r>
      <w:r w:rsidR="00C14ABD" w:rsidRPr="00D13B67">
        <w:t>people</w:t>
      </w:r>
      <w:r w:rsidRPr="00D13B67">
        <w:t xml:space="preserve"> with </w:t>
      </w:r>
      <w:r w:rsidR="00C14ABD" w:rsidRPr="00D13B67">
        <w:t>disabilities”?</w:t>
      </w:r>
      <w:r w:rsidRPr="00D13B67">
        <w:t xml:space="preserve"> Language </w:t>
      </w:r>
      <w:r w:rsidR="00C14ABD" w:rsidRPr="00D13B67">
        <w:t>preferences</w:t>
      </w:r>
      <w:r w:rsidRPr="00D13B67">
        <w:t xml:space="preserve"> of </w:t>
      </w:r>
      <w:r w:rsidR="00C14ABD" w:rsidRPr="00D13B67">
        <w:t>disabled people between identity</w:t>
      </w:r>
      <w:r w:rsidRPr="00D13B67">
        <w:t xml:space="preserve">- and </w:t>
      </w:r>
      <w:r w:rsidR="00C14ABD" w:rsidRPr="00D13B67">
        <w:t>person-first language.</w:t>
      </w:r>
      <w:r w:rsidRPr="00D13B67">
        <w:t xml:space="preserve"> </w:t>
      </w:r>
      <w:r w:rsidRPr="00D13B67">
        <w:rPr>
          <w:i/>
          <w:iCs/>
        </w:rPr>
        <w:t>Proceedings of the 24th International ACM SIGACCESS Conference on Computers and Accessibility,</w:t>
      </w:r>
      <w:r w:rsidRPr="00D13B67">
        <w:t xml:space="preserve"> 1–18. </w:t>
      </w:r>
      <w:hyperlink r:id="rId200">
        <w:r w:rsidRPr="00D13B67">
          <w:rPr>
            <w:rStyle w:val="Hyperlink"/>
          </w:rPr>
          <w:t>https://doi.org/10.1145/3517428.3544813</w:t>
        </w:r>
      </w:hyperlink>
    </w:p>
    <w:p w14:paraId="4B06A437" w14:textId="0C36784C" w:rsidR="00056BCB" w:rsidRPr="00D13B67" w:rsidRDefault="00056BCB" w:rsidP="00305C0E">
      <w:pPr>
        <w:pStyle w:val="Reference"/>
      </w:pPr>
      <w:r w:rsidRPr="00D13B67">
        <w:t xml:space="preserve">Shakespeare, T. (1996). Rules of </w:t>
      </w:r>
      <w:r w:rsidR="00C14ABD" w:rsidRPr="00D13B67">
        <w:t>e</w:t>
      </w:r>
      <w:r w:rsidRPr="00D13B67">
        <w:t xml:space="preserve">ngagement: Doing disability research. </w:t>
      </w:r>
      <w:r w:rsidRPr="00D13B67">
        <w:rPr>
          <w:i/>
          <w:iCs/>
        </w:rPr>
        <w:t>Disability &amp; Society</w:t>
      </w:r>
      <w:r w:rsidRPr="00D13B67">
        <w:t xml:space="preserve">, </w:t>
      </w:r>
      <w:r w:rsidRPr="00D13B67">
        <w:rPr>
          <w:i/>
          <w:iCs/>
        </w:rPr>
        <w:t>11</w:t>
      </w:r>
      <w:r w:rsidRPr="00D13B67">
        <w:t xml:space="preserve">(1), 115–121. </w:t>
      </w:r>
      <w:hyperlink r:id="rId201" w:history="1">
        <w:r w:rsidRPr="00D13B67">
          <w:rPr>
            <w:rStyle w:val="Hyperlink"/>
          </w:rPr>
          <w:t>https://doi.org/10.1080/09687599650023380</w:t>
        </w:r>
      </w:hyperlink>
    </w:p>
    <w:p w14:paraId="3BCCA326" w14:textId="5DBBA26E" w:rsidR="003F574B" w:rsidRPr="00D13B67" w:rsidRDefault="003F574B" w:rsidP="00305C0E">
      <w:pPr>
        <w:pStyle w:val="Reference"/>
      </w:pPr>
      <w:r w:rsidRPr="00D13B67">
        <w:t xml:space="preserve">Shakespeare, T., &amp; Watson, N. (2001). The social model of disability: An outdated ideology? In S. N. </w:t>
      </w:r>
      <w:proofErr w:type="spellStart"/>
      <w:r w:rsidRPr="00D13B67">
        <w:t>Barnartt</w:t>
      </w:r>
      <w:proofErr w:type="spellEnd"/>
      <w:r w:rsidRPr="00D13B67">
        <w:t xml:space="preserve"> &amp; B. M. Altman (Eds.), </w:t>
      </w:r>
      <w:r w:rsidRPr="00D13B67">
        <w:rPr>
          <w:i/>
          <w:iCs/>
        </w:rPr>
        <w:t>Exploring Theories and Expanding Methodologies: Where we are and where we need to go</w:t>
      </w:r>
      <w:r w:rsidRPr="00D13B67">
        <w:t xml:space="preserve"> (Vol. 2, p. 0). Emerald Group Publishing Limited. </w:t>
      </w:r>
      <w:hyperlink r:id="rId202" w:history="1">
        <w:r w:rsidRPr="00D13B67">
          <w:rPr>
            <w:rStyle w:val="Hyperlink"/>
          </w:rPr>
          <w:t>https://doi.org/10.1016/S1479-3547(01)80018-X</w:t>
        </w:r>
      </w:hyperlink>
    </w:p>
    <w:p w14:paraId="34B9C108" w14:textId="0D399C62" w:rsidR="00F1617B" w:rsidRPr="00D13B67" w:rsidRDefault="00F1617B" w:rsidP="00305C0E">
      <w:pPr>
        <w:pStyle w:val="Reference"/>
      </w:pPr>
      <w:r w:rsidRPr="00D13B67">
        <w:t xml:space="preserve">Sheets, Z. (2019). But </w:t>
      </w:r>
      <w:r w:rsidR="00C14ABD" w:rsidRPr="00D13B67">
        <w:t>you look fine</w:t>
      </w:r>
      <w:r w:rsidRPr="00D13B67">
        <w:t xml:space="preserve">: Limitations of the </w:t>
      </w:r>
      <w:r w:rsidR="00C14ABD" w:rsidRPr="00D13B67">
        <w:t>letter</w:t>
      </w:r>
      <w:r w:rsidRPr="00D13B67">
        <w:t xml:space="preserve"> of </w:t>
      </w:r>
      <w:r w:rsidR="00C14ABD" w:rsidRPr="00D13B67">
        <w:t>accommodation</w:t>
      </w:r>
      <w:r w:rsidRPr="00D13B67">
        <w:t xml:space="preserve">. In C. McMaster, B. Whitburn, &amp; M. Oliver (Eds.), </w:t>
      </w:r>
      <w:r w:rsidRPr="00D13B67">
        <w:rPr>
          <w:i/>
          <w:iCs/>
        </w:rPr>
        <w:t>Disability and the university: A disabled students’ manifesto</w:t>
      </w:r>
      <w:r w:rsidRPr="00D13B67">
        <w:t xml:space="preserve"> (pp. 79–86). Peter Lang Publishing, Inc.</w:t>
      </w:r>
    </w:p>
    <w:p w14:paraId="514BBF1B" w14:textId="5ED31137" w:rsidR="00EB3C86" w:rsidRPr="00D13B67" w:rsidRDefault="00EB3C86" w:rsidP="00305C0E">
      <w:pPr>
        <w:pStyle w:val="Reference"/>
      </w:pPr>
      <w:r w:rsidRPr="00D13B67">
        <w:t xml:space="preserve">Shew, A. (2023). </w:t>
      </w:r>
      <w:r w:rsidR="00FA7F84" w:rsidRPr="00D13B67">
        <w:t xml:space="preserve">Against </w:t>
      </w:r>
      <w:proofErr w:type="spellStart"/>
      <w:r w:rsidR="00FA7F84" w:rsidRPr="00D13B67">
        <w:t>technoableism</w:t>
      </w:r>
      <w:proofErr w:type="spellEnd"/>
      <w:r w:rsidR="00FA7F84" w:rsidRPr="00D13B67">
        <w:t>: rethinking who needs improvement</w:t>
      </w:r>
      <w:r w:rsidRPr="00D13B67">
        <w:t>. W. W. Norton &amp; Company.</w:t>
      </w:r>
    </w:p>
    <w:p w14:paraId="5FBD29E6" w14:textId="39EF4BCA" w:rsidR="007D20B1" w:rsidRPr="00D13B67" w:rsidRDefault="007D20B1" w:rsidP="00305C0E">
      <w:pPr>
        <w:pStyle w:val="Reference"/>
      </w:pPr>
      <w:r w:rsidRPr="00D13B67">
        <w:t xml:space="preserve">Shirky, C. (2010). Cognitive surplus: Creativity and generosity in a connected age. New York: Penguin Press. </w:t>
      </w:r>
    </w:p>
    <w:p w14:paraId="3CC034E3" w14:textId="6D7F3847" w:rsidR="00F1617B" w:rsidRPr="00D13B67" w:rsidRDefault="00F1617B" w:rsidP="00305C0E">
      <w:pPr>
        <w:pStyle w:val="Reference"/>
      </w:pPr>
      <w:r w:rsidRPr="00D13B67">
        <w:t xml:space="preserve">Slaughter, M. H., Lindstrom, J. H., &amp; Anderson, R. (2022). Perceptions of </w:t>
      </w:r>
      <w:r w:rsidR="00C14ABD" w:rsidRPr="00D13B67">
        <w:t>extended time accommodations among postsecondary students with disabilities</w:t>
      </w:r>
      <w:r w:rsidRPr="00D13B67">
        <w:t xml:space="preserve">. </w:t>
      </w:r>
      <w:r w:rsidRPr="00D13B67">
        <w:rPr>
          <w:i/>
          <w:iCs/>
        </w:rPr>
        <w:t>Exceptionality</w:t>
      </w:r>
      <w:r w:rsidRPr="00D13B67">
        <w:t xml:space="preserve">, </w:t>
      </w:r>
      <w:r w:rsidRPr="00D13B67">
        <w:rPr>
          <w:i/>
          <w:iCs/>
        </w:rPr>
        <w:t>30</w:t>
      </w:r>
      <w:r w:rsidRPr="00D13B67">
        <w:t xml:space="preserve">(4), 246–260. </w:t>
      </w:r>
      <w:hyperlink r:id="rId203" w:history="1">
        <w:r w:rsidRPr="00D13B67">
          <w:rPr>
            <w:rStyle w:val="Hyperlink"/>
          </w:rPr>
          <w:t>https://doi.org/10.1080/09362835.2020.1727339</w:t>
        </w:r>
      </w:hyperlink>
    </w:p>
    <w:p w14:paraId="29110195" w14:textId="34CF238D" w:rsidR="00E35D19" w:rsidRPr="00D13B67" w:rsidRDefault="00E35D19" w:rsidP="00305C0E">
      <w:pPr>
        <w:pStyle w:val="Reference"/>
      </w:pPr>
      <w:r w:rsidRPr="00D13B67">
        <w:t>Smith, L. T. (2012). Decolonizing methodologies: Research and Indigenous peoples</w:t>
      </w:r>
      <w:r w:rsidR="00B22373" w:rsidRPr="00D13B67">
        <w:t>. 2</w:t>
      </w:r>
      <w:r w:rsidR="009C52C1" w:rsidRPr="00D13B67">
        <w:rPr>
          <w:vertAlign w:val="superscript"/>
        </w:rPr>
        <w:t>nd</w:t>
      </w:r>
      <w:r w:rsidR="009C52C1" w:rsidRPr="00D13B67">
        <w:t xml:space="preserve"> ed.</w:t>
      </w:r>
      <w:r w:rsidRPr="00D13B67">
        <w:t xml:space="preserve"> Zed Books.</w:t>
      </w:r>
    </w:p>
    <w:p w14:paraId="51841730" w14:textId="7886D25F" w:rsidR="00383890" w:rsidRPr="00D13B67" w:rsidRDefault="00383890" w:rsidP="00305C0E">
      <w:pPr>
        <w:pStyle w:val="Reference"/>
      </w:pPr>
      <w:r w:rsidRPr="00D13B67">
        <w:t>Smith, K. (2013). Digital outcasts: Moving technology forward without leaving people behind. Morgan Kaufmann.</w:t>
      </w:r>
    </w:p>
    <w:p w14:paraId="10C1B762" w14:textId="42224714" w:rsidR="001041C7" w:rsidRPr="00D13B67" w:rsidRDefault="001041C7" w:rsidP="00305C0E">
      <w:pPr>
        <w:pStyle w:val="Reference"/>
      </w:pPr>
      <w:r w:rsidRPr="00D13B67">
        <w:t xml:space="preserve">Smith, M. K. (2017). What is action research and how do we do it? </w:t>
      </w:r>
      <w:r w:rsidRPr="00D13B67">
        <w:rPr>
          <w:i/>
        </w:rPr>
        <w:t>The Encyclopedia of Pedagogy and Informal Education</w:t>
      </w:r>
      <w:r w:rsidRPr="00D13B67">
        <w:t xml:space="preserve">. </w:t>
      </w:r>
      <w:hyperlink r:id="rId204" w:history="1">
        <w:r w:rsidRPr="00D13B67">
          <w:rPr>
            <w:rStyle w:val="Hyperlink"/>
          </w:rPr>
          <w:t>https://infed.org/mobi/action-research/</w:t>
        </w:r>
      </w:hyperlink>
    </w:p>
    <w:p w14:paraId="6B2DE22D" w14:textId="23483BEF" w:rsidR="00F64A93" w:rsidRPr="00D13B67" w:rsidRDefault="008B7783" w:rsidP="00305C0E">
      <w:pPr>
        <w:pStyle w:val="Reference"/>
      </w:pPr>
      <w:r w:rsidRPr="00D13B67">
        <w:t xml:space="preserve">Snyder, S. L., &amp; Mitchell, D. T. (2006). </w:t>
      </w:r>
      <w:r w:rsidRPr="00D13B67">
        <w:rPr>
          <w:i/>
          <w:iCs/>
        </w:rPr>
        <w:t>Cultural locations of disability</w:t>
      </w:r>
      <w:r w:rsidRPr="00D13B67">
        <w:t xml:space="preserve">. University of Chicago Press. </w:t>
      </w:r>
      <w:hyperlink r:id="rId205" w:history="1">
        <w:r w:rsidR="00F64A93" w:rsidRPr="00D13B67">
          <w:rPr>
            <w:rStyle w:val="Hyperlink"/>
          </w:rPr>
          <w:t>https://doi.org/10.7208/chicago/9780226767307.001.0001</w:t>
        </w:r>
      </w:hyperlink>
    </w:p>
    <w:p w14:paraId="5B425DB4" w14:textId="77777777" w:rsidR="00D71C22" w:rsidRPr="00D13B67" w:rsidRDefault="00D71C22" w:rsidP="00305C0E">
      <w:pPr>
        <w:pStyle w:val="Reference"/>
      </w:pPr>
      <w:proofErr w:type="spellStart"/>
      <w:r w:rsidRPr="00D13B67">
        <w:lastRenderedPageBreak/>
        <w:t>Solsman</w:t>
      </w:r>
      <w:proofErr w:type="spellEnd"/>
      <w:r w:rsidRPr="00D13B67">
        <w:t xml:space="preserve">, J. E. (2017). </w:t>
      </w:r>
      <w:r w:rsidRPr="00D13B67">
        <w:rPr>
          <w:i/>
          <w:iCs/>
        </w:rPr>
        <w:t>Internet inventor: Make tech accessibility better already</w:t>
      </w:r>
      <w:r w:rsidRPr="00D13B67">
        <w:t xml:space="preserve">. CNET. </w:t>
      </w:r>
      <w:hyperlink r:id="rId206" w:history="1">
        <w:r w:rsidRPr="00D13B67">
          <w:rPr>
            <w:rStyle w:val="Hyperlink"/>
          </w:rPr>
          <w:t>https://www.cnet.com/culture/internet-inventor-vint-cerf-accessibility-disability-deaf-hearing/</w:t>
        </w:r>
      </w:hyperlink>
    </w:p>
    <w:p w14:paraId="5CBAAF18" w14:textId="77777777" w:rsidR="00514D70" w:rsidRPr="00D13B67" w:rsidRDefault="00514D70" w:rsidP="00305C0E">
      <w:pPr>
        <w:pStyle w:val="Reference"/>
      </w:pPr>
      <w:r w:rsidRPr="00D13B67">
        <w:t xml:space="preserve">Statistics Canada. (2017). </w:t>
      </w:r>
      <w:r w:rsidRPr="00D13B67">
        <w:rPr>
          <w:i/>
          <w:iCs/>
        </w:rPr>
        <w:t>Requirements for and level of needs met for educational accommodations or modifications for persons with disabilities</w:t>
      </w:r>
      <w:r w:rsidRPr="00D13B67">
        <w:t xml:space="preserve">. </w:t>
      </w:r>
      <w:hyperlink r:id="rId207" w:history="1">
        <w:r w:rsidRPr="00D13B67">
          <w:rPr>
            <w:rStyle w:val="Hyperlink"/>
          </w:rPr>
          <w:t>https://www150.statcan.gc.ca/t1/tbl1/en/tv.action?pid=1310089401</w:t>
        </w:r>
      </w:hyperlink>
    </w:p>
    <w:p w14:paraId="00DC1DB0" w14:textId="66E6EAA7" w:rsidR="61FFC41A" w:rsidRPr="00D13B67" w:rsidRDefault="61FFC41A" w:rsidP="00305C0E">
      <w:pPr>
        <w:pStyle w:val="Reference"/>
      </w:pPr>
      <w:r w:rsidRPr="00D13B67">
        <w:t>Statistics Canada. (2023).</w:t>
      </w:r>
      <w:r w:rsidRPr="00D13B67">
        <w:rPr>
          <w:i/>
          <w:iCs/>
        </w:rPr>
        <w:t xml:space="preserve"> The </w:t>
      </w:r>
      <w:r w:rsidR="00C14ABD" w:rsidRPr="00D13B67">
        <w:rPr>
          <w:i/>
          <w:iCs/>
        </w:rPr>
        <w:t>daily</w:t>
      </w:r>
      <w:r w:rsidRPr="00D13B67">
        <w:rPr>
          <w:i/>
          <w:iCs/>
        </w:rPr>
        <w:t xml:space="preserve">—Canadian </w:t>
      </w:r>
      <w:r w:rsidR="00C14ABD" w:rsidRPr="00D13B67">
        <w:rPr>
          <w:i/>
          <w:iCs/>
        </w:rPr>
        <w:t>survey</w:t>
      </w:r>
      <w:r w:rsidRPr="00D13B67">
        <w:rPr>
          <w:i/>
          <w:iCs/>
        </w:rPr>
        <w:t xml:space="preserve"> on </w:t>
      </w:r>
      <w:r w:rsidR="00C14ABD" w:rsidRPr="00D13B67">
        <w:rPr>
          <w:i/>
          <w:iCs/>
        </w:rPr>
        <w:t>disability</w:t>
      </w:r>
      <w:r w:rsidRPr="00D13B67">
        <w:rPr>
          <w:i/>
          <w:iCs/>
        </w:rPr>
        <w:t>, 2017 to 2022.</w:t>
      </w:r>
      <w:r w:rsidRPr="00D13B67">
        <w:t xml:space="preserve"> </w:t>
      </w:r>
      <w:hyperlink r:id="rId208">
        <w:r w:rsidRPr="00D13B67">
          <w:rPr>
            <w:rStyle w:val="Hyperlink"/>
          </w:rPr>
          <w:t>https://www150.statcan.gc.ca/n1/daily-quotidien/231201/dq231201b-eng.htm</w:t>
        </w:r>
      </w:hyperlink>
    </w:p>
    <w:p w14:paraId="176BA6FB" w14:textId="77777777" w:rsidR="5C5AFC35" w:rsidRPr="00D13B67" w:rsidRDefault="5C5AFC35" w:rsidP="00305C0E">
      <w:pPr>
        <w:pStyle w:val="Reference"/>
      </w:pPr>
      <w:r w:rsidRPr="00D13B67">
        <w:t>Statistics Canada. (2024</w:t>
      </w:r>
      <w:r w:rsidR="37EA3228" w:rsidRPr="00D13B67">
        <w:t>a</w:t>
      </w:r>
      <w:r w:rsidRPr="00D13B67">
        <w:t xml:space="preserve">). </w:t>
      </w:r>
      <w:r w:rsidRPr="00D13B67">
        <w:rPr>
          <w:i/>
          <w:iCs/>
        </w:rPr>
        <w:t>Persons with and without disabilities aged 15 years and over, by age group and gender.</w:t>
      </w:r>
      <w:r w:rsidRPr="00D13B67">
        <w:t xml:space="preserve"> </w:t>
      </w:r>
      <w:hyperlink r:id="rId209">
        <w:r w:rsidRPr="00D13B67">
          <w:rPr>
            <w:rStyle w:val="Hyperlink"/>
          </w:rPr>
          <w:t>https://www150.statcan.gc.ca/t1/tbl1/en/tv.action?pid=1310037401</w:t>
        </w:r>
      </w:hyperlink>
    </w:p>
    <w:p w14:paraId="17F1ADF3" w14:textId="77777777" w:rsidR="413119D6" w:rsidRPr="00D13B67" w:rsidRDefault="413119D6" w:rsidP="00305C0E">
      <w:pPr>
        <w:pStyle w:val="Reference"/>
      </w:pPr>
      <w:r w:rsidRPr="00D13B67">
        <w:t xml:space="preserve">Statistics Canada. (2024b). Requirements for and level of needs met for educational accommodations or modifications for persons with disabilities. </w:t>
      </w:r>
      <w:hyperlink r:id="rId210">
        <w:r w:rsidRPr="00D13B67">
          <w:rPr>
            <w:rStyle w:val="Hyperlink"/>
          </w:rPr>
          <w:t>https://www150.statcan.gc.ca/t1/tbl1/en/tv.action?pid=1310089401</w:t>
        </w:r>
      </w:hyperlink>
    </w:p>
    <w:p w14:paraId="1FF992A3" w14:textId="214905B4" w:rsidR="00E0283D" w:rsidRPr="00D13B67" w:rsidRDefault="00E0283D" w:rsidP="00305C0E">
      <w:pPr>
        <w:pStyle w:val="Reference"/>
      </w:pPr>
      <w:r w:rsidRPr="00D13B67">
        <w:t>Stenhouse, L. (1975). An introduction to curriculum research and development. Heinemann.</w:t>
      </w:r>
    </w:p>
    <w:p w14:paraId="48C7AF8D" w14:textId="29FF2669" w:rsidR="00A91811" w:rsidRPr="00D13B67" w:rsidRDefault="00A91811" w:rsidP="00305C0E">
      <w:pPr>
        <w:pStyle w:val="Reference"/>
      </w:pPr>
      <w:r w:rsidRPr="00D13B67">
        <w:t xml:space="preserve">Sternberg, R. J. (1997, August 25). Opinion | </w:t>
      </w:r>
      <w:r w:rsidR="00C14ABD" w:rsidRPr="00D13B67">
        <w:t>extra credit</w:t>
      </w:r>
      <w:r w:rsidRPr="00D13B67">
        <w:t xml:space="preserve"> for </w:t>
      </w:r>
      <w:r w:rsidR="00C14ABD" w:rsidRPr="00D13B67">
        <w:t>doing poorly</w:t>
      </w:r>
      <w:r w:rsidRPr="00D13B67">
        <w:t xml:space="preserve">. </w:t>
      </w:r>
      <w:r w:rsidRPr="00D13B67">
        <w:rPr>
          <w:i/>
          <w:iCs/>
        </w:rPr>
        <w:t>The New York Times</w:t>
      </w:r>
      <w:r w:rsidRPr="00D13B67">
        <w:t xml:space="preserve">. </w:t>
      </w:r>
      <w:hyperlink r:id="rId211" w:history="1">
        <w:r w:rsidRPr="00D13B67">
          <w:rPr>
            <w:rStyle w:val="Hyperlink"/>
          </w:rPr>
          <w:t>https://www.nytimes.com/1997/08/25/opinion/extra-credit-for-doing-poorly.html</w:t>
        </w:r>
      </w:hyperlink>
    </w:p>
    <w:p w14:paraId="268B8169" w14:textId="77777777" w:rsidR="002B3BF4" w:rsidRPr="00D13B67" w:rsidRDefault="002B3BF4" w:rsidP="00305C0E">
      <w:pPr>
        <w:pStyle w:val="Reference"/>
      </w:pPr>
      <w:r w:rsidRPr="00D13B67">
        <w:t xml:space="preserve">Still, A. (2020). </w:t>
      </w:r>
      <w:r w:rsidRPr="00D13B67">
        <w:rPr>
          <w:i/>
          <w:iCs/>
        </w:rPr>
        <w:t>Adobe unveils ambitious multi-year vision for PDF: Introduces Liquid Mode</w:t>
      </w:r>
      <w:r w:rsidRPr="00D13B67">
        <w:t xml:space="preserve">. </w:t>
      </w:r>
      <w:hyperlink r:id="rId212" w:history="1">
        <w:r w:rsidRPr="00D13B67">
          <w:rPr>
            <w:rStyle w:val="Hyperlink"/>
          </w:rPr>
          <w:t>https://blog.adobe.com/en/publish/2020/09/23/adobe-unveils-ambitious-multi-year-vision-for-pdf-introduces-liquid-mode</w:t>
        </w:r>
      </w:hyperlink>
    </w:p>
    <w:p w14:paraId="50F0566F" w14:textId="60EDB825" w:rsidR="002B3BF4" w:rsidRPr="00D13B67" w:rsidRDefault="002B3BF4" w:rsidP="00305C0E">
      <w:pPr>
        <w:pStyle w:val="Reference"/>
      </w:pPr>
      <w:r w:rsidRPr="00D13B67">
        <w:t xml:space="preserve">Stoesz, B. M., &amp; Niknam, M. (2022). Student </w:t>
      </w:r>
      <w:r w:rsidR="00C14ABD" w:rsidRPr="00D13B67">
        <w:t>perceptions</w:t>
      </w:r>
      <w:r w:rsidRPr="00D13B67">
        <w:t xml:space="preserve"> of the </w:t>
      </w:r>
      <w:r w:rsidR="00C14ABD" w:rsidRPr="00D13B67">
        <w:t>visual design of learning management systems.</w:t>
      </w:r>
      <w:r w:rsidRPr="00D13B67">
        <w:t xml:space="preserve"> </w:t>
      </w:r>
      <w:r w:rsidRPr="00D13B67">
        <w:rPr>
          <w:i/>
          <w:iCs/>
        </w:rPr>
        <w:t>Canadian Journal of Learning and Technology</w:t>
      </w:r>
      <w:r w:rsidRPr="00D13B67">
        <w:t xml:space="preserve">, </w:t>
      </w:r>
      <w:r w:rsidRPr="00D13B67">
        <w:rPr>
          <w:i/>
          <w:iCs/>
        </w:rPr>
        <w:t>48</w:t>
      </w:r>
      <w:r w:rsidRPr="00D13B67">
        <w:t xml:space="preserve">(3). </w:t>
      </w:r>
      <w:hyperlink r:id="rId213" w:history="1">
        <w:r w:rsidRPr="00D13B67">
          <w:rPr>
            <w:rStyle w:val="Hyperlink"/>
          </w:rPr>
          <w:t>https://eric.ed.gov/?id=EJ1388367</w:t>
        </w:r>
      </w:hyperlink>
    </w:p>
    <w:p w14:paraId="60EBF3CB" w14:textId="77777777" w:rsidR="005F14A8" w:rsidRPr="00D13B67" w:rsidRDefault="005F14A8" w:rsidP="00305C0E">
      <w:pPr>
        <w:pStyle w:val="Reference"/>
        <w:rPr>
          <w:rFonts w:ascii="Times New Roman" w:eastAsia="Times New Roman" w:hAnsi="Times New Roman" w:cs="Times New Roman"/>
        </w:rPr>
      </w:pPr>
      <w:proofErr w:type="spellStart"/>
      <w:r w:rsidRPr="00D13B67">
        <w:t>Strijbos</w:t>
      </w:r>
      <w:proofErr w:type="spellEnd"/>
      <w:r w:rsidRPr="00D13B67">
        <w:t xml:space="preserve">, J., &amp; </w:t>
      </w:r>
      <w:proofErr w:type="spellStart"/>
      <w:r w:rsidRPr="00D13B67">
        <w:t>Vaesen</w:t>
      </w:r>
      <w:proofErr w:type="spellEnd"/>
      <w:r w:rsidRPr="00D13B67">
        <w:t xml:space="preserve">, J. (2025). Processes of change in student-teacher partnerships: A review of literature. </w:t>
      </w:r>
      <w:r w:rsidRPr="00D13B67">
        <w:rPr>
          <w:i/>
          <w:iCs/>
        </w:rPr>
        <w:t>Educational Action Research</w:t>
      </w:r>
      <w:r w:rsidRPr="00D13B67">
        <w:t xml:space="preserve">, 1–22. </w:t>
      </w:r>
      <w:hyperlink r:id="rId214" w:history="1">
        <w:r w:rsidRPr="00D13B67">
          <w:rPr>
            <w:rStyle w:val="Hyperlink"/>
          </w:rPr>
          <w:t>https://doi.org/10.1080/09650792.2025.2531174</w:t>
        </w:r>
      </w:hyperlink>
    </w:p>
    <w:p w14:paraId="7AB66100" w14:textId="48A37696" w:rsidR="00E0283D" w:rsidRPr="00D13B67" w:rsidRDefault="005F14A8" w:rsidP="00305C0E">
      <w:pPr>
        <w:pStyle w:val="Reference"/>
      </w:pPr>
      <w:r w:rsidRPr="00D13B67">
        <w:t xml:space="preserve">Stringer, E. T. (1999). </w:t>
      </w:r>
      <w:r w:rsidRPr="00D13B67">
        <w:rPr>
          <w:i/>
          <w:iCs/>
        </w:rPr>
        <w:t>Action research</w:t>
      </w:r>
      <w:r w:rsidRPr="00D13B67">
        <w:t xml:space="preserve"> (2nd ed). Sage Publications.</w:t>
      </w:r>
    </w:p>
    <w:p w14:paraId="2F30D07E" w14:textId="77777777" w:rsidR="002B3BF4" w:rsidRPr="00D13B67" w:rsidRDefault="002B3BF4" w:rsidP="00305C0E">
      <w:pPr>
        <w:pStyle w:val="Reference"/>
      </w:pPr>
      <w:r w:rsidRPr="00D13B67">
        <w:lastRenderedPageBreak/>
        <w:t xml:space="preserve">Sullivan, T., &amp; Matson, R. (2000). Barriers to use: Usability and content accessibility on the Web’s most popular sites. </w:t>
      </w:r>
      <w:r w:rsidRPr="00D13B67">
        <w:rPr>
          <w:i/>
          <w:iCs/>
        </w:rPr>
        <w:t>Proceedings on the 2000 Conference on Universal Usability, CUU ’00</w:t>
      </w:r>
      <w:r w:rsidRPr="00D13B67">
        <w:t xml:space="preserve">, 139–144. </w:t>
      </w:r>
      <w:hyperlink r:id="rId215" w:history="1">
        <w:r w:rsidRPr="00D13B67">
          <w:rPr>
            <w:rStyle w:val="Hyperlink"/>
          </w:rPr>
          <w:t>https://doi.org/10.1145/355460.355549</w:t>
        </w:r>
      </w:hyperlink>
    </w:p>
    <w:p w14:paraId="6E81AB0F" w14:textId="75A7DEAB" w:rsidR="006764EB" w:rsidRPr="00D13B67" w:rsidRDefault="006764EB" w:rsidP="00305C0E">
      <w:pPr>
        <w:pStyle w:val="Reference"/>
      </w:pPr>
      <w:r w:rsidRPr="00D13B67">
        <w:t xml:space="preserve">Swain, J., &amp; French, S. (2000). Towards an </w:t>
      </w:r>
      <w:r w:rsidR="00C14ABD" w:rsidRPr="00D13B67">
        <w:t>affirmation model</w:t>
      </w:r>
      <w:r w:rsidRPr="00D13B67">
        <w:t xml:space="preserve"> of </w:t>
      </w:r>
      <w:r w:rsidR="00C14ABD" w:rsidRPr="00D13B67">
        <w:t>disability</w:t>
      </w:r>
      <w:r w:rsidRPr="00D13B67">
        <w:t xml:space="preserve">. </w:t>
      </w:r>
      <w:r w:rsidRPr="00D13B67">
        <w:rPr>
          <w:i/>
          <w:iCs/>
        </w:rPr>
        <w:t>Disability &amp; Society</w:t>
      </w:r>
      <w:r w:rsidRPr="00D13B67">
        <w:t xml:space="preserve">, </w:t>
      </w:r>
      <w:r w:rsidRPr="00D13B67">
        <w:rPr>
          <w:i/>
          <w:iCs/>
        </w:rPr>
        <w:t>15</w:t>
      </w:r>
      <w:r w:rsidRPr="00D13B67">
        <w:t xml:space="preserve">(4), 569–582. </w:t>
      </w:r>
      <w:hyperlink r:id="rId216" w:history="1">
        <w:r w:rsidRPr="00D13B67">
          <w:rPr>
            <w:rStyle w:val="Hyperlink"/>
          </w:rPr>
          <w:t>https://doi.org/10.1080/09687590050058189</w:t>
        </w:r>
      </w:hyperlink>
    </w:p>
    <w:p w14:paraId="2DC0EC35" w14:textId="105B117B" w:rsidR="004B44AE" w:rsidRPr="00D13B67" w:rsidRDefault="00A8033E" w:rsidP="00305C0E">
      <w:pPr>
        <w:pStyle w:val="Reference"/>
      </w:pPr>
      <w:r w:rsidRPr="00D13B67">
        <w:t xml:space="preserve">Swan, H. (2025). </w:t>
      </w:r>
      <w:r w:rsidR="00C14ABD" w:rsidRPr="00D13B67">
        <w:t>Guide to the inclusive design principles</w:t>
      </w:r>
      <w:r w:rsidRPr="00D13B67">
        <w:t xml:space="preserve">. </w:t>
      </w:r>
      <w:proofErr w:type="spellStart"/>
      <w:r w:rsidR="00C14ABD" w:rsidRPr="00D13B67">
        <w:rPr>
          <w:i/>
          <w:iCs/>
        </w:rPr>
        <w:t>Tetralogical</w:t>
      </w:r>
      <w:proofErr w:type="spellEnd"/>
      <w:r w:rsidRPr="00D13B67">
        <w:t xml:space="preserve">. </w:t>
      </w:r>
      <w:hyperlink r:id="rId217" w:history="1">
        <w:r w:rsidRPr="00D13B67">
          <w:rPr>
            <w:rStyle w:val="Hyperlink"/>
          </w:rPr>
          <w:t>https://tetralogical.com/blog/2025/10/07/guide-to-the-inclusive-design-principles/</w:t>
        </w:r>
      </w:hyperlink>
    </w:p>
    <w:p w14:paraId="4B210599" w14:textId="7FE50135" w:rsidR="00433A4E" w:rsidRPr="00D13B67" w:rsidRDefault="00433A4E" w:rsidP="00305C0E">
      <w:pPr>
        <w:pStyle w:val="Reference"/>
      </w:pPr>
      <w:r w:rsidRPr="00D13B67">
        <w:t>Telecommunications Act of 1996, 104–104 (1996).</w:t>
      </w:r>
    </w:p>
    <w:p w14:paraId="37D7E35D" w14:textId="2A643DB5" w:rsidR="00615265" w:rsidRPr="00D13B67" w:rsidRDefault="00615265" w:rsidP="00305C0E">
      <w:pPr>
        <w:pStyle w:val="Reference"/>
      </w:pPr>
      <w:r w:rsidRPr="00D13B67">
        <w:t xml:space="preserve">The European Parliament and the Council of the European Union (2016). Directive (EU) 2016/2102 of the European Parliament and of the Council of 26 October 2016 on the accessibility of the websites and mobile applications of public sector bodies. </w:t>
      </w:r>
      <w:hyperlink r:id="rId218" w:history="1">
        <w:r w:rsidRPr="00D13B67">
          <w:rPr>
            <w:rStyle w:val="Hyperlink"/>
          </w:rPr>
          <w:t>https://eur-lex.europa.eu/eli/dir/2016/2102/oj/eng</w:t>
        </w:r>
      </w:hyperlink>
    </w:p>
    <w:p w14:paraId="78578157" w14:textId="0C9FD811" w:rsidR="00343930" w:rsidRPr="00D13B67" w:rsidRDefault="00343930" w:rsidP="00305C0E">
      <w:pPr>
        <w:pStyle w:val="Reference"/>
      </w:pPr>
      <w:r w:rsidRPr="00D13B67">
        <w:t xml:space="preserve">The European Parliament and the Council of the European Union (2019). Directive (EU) 2019/882 of the European Parliament and of the Council of 17 April 2019 on the Accessibility Requirements for Products and Services (Text with EEA Relevance), CONSIL, EP, 151 OJ L (2019). </w:t>
      </w:r>
      <w:hyperlink r:id="rId219" w:history="1">
        <w:r w:rsidRPr="00D13B67">
          <w:rPr>
            <w:rStyle w:val="Hyperlink"/>
          </w:rPr>
          <w:t>http://data.europa.eu/eli/dir/2019/882/oj/eng</w:t>
        </w:r>
      </w:hyperlink>
    </w:p>
    <w:p w14:paraId="49EA7818" w14:textId="77777777" w:rsidR="005700A8" w:rsidRPr="00D13B67" w:rsidRDefault="005700A8" w:rsidP="00305C0E">
      <w:pPr>
        <w:pStyle w:val="Reference"/>
      </w:pPr>
      <w:proofErr w:type="spellStart"/>
      <w:r w:rsidRPr="00D13B67">
        <w:t>Timuș</w:t>
      </w:r>
      <w:proofErr w:type="spellEnd"/>
      <w:r w:rsidRPr="00D13B67">
        <w:t xml:space="preserve">, N., Bartlett, M. E., Bartlett, J. E., Ehrlich, S., &amp; Babutsidze, Z. (2024). Fostering inclusive higher education through universal design for learning and inclusive pedagogy—EU and US faculty perceptions. </w:t>
      </w:r>
      <w:r w:rsidRPr="00D13B67">
        <w:rPr>
          <w:i/>
          <w:iCs/>
        </w:rPr>
        <w:t>Higher Education Research &amp; Development</w:t>
      </w:r>
      <w:r w:rsidRPr="00D13B67">
        <w:t xml:space="preserve">, </w:t>
      </w:r>
      <w:r w:rsidRPr="00D13B67">
        <w:rPr>
          <w:i/>
          <w:iCs/>
        </w:rPr>
        <w:t>43</w:t>
      </w:r>
      <w:r w:rsidRPr="00D13B67">
        <w:t xml:space="preserve">(2), 473–487. (2024-57487-014). </w:t>
      </w:r>
      <w:hyperlink r:id="rId220" w:history="1">
        <w:r w:rsidRPr="00D13B67">
          <w:rPr>
            <w:rStyle w:val="Hyperlink"/>
          </w:rPr>
          <w:t>https://doi.org/10.1080/07294360.2023.2234314</w:t>
        </w:r>
      </w:hyperlink>
    </w:p>
    <w:p w14:paraId="75559AE9" w14:textId="77777777" w:rsidR="00447274" w:rsidRPr="00D13B67" w:rsidRDefault="00447274" w:rsidP="00305C0E">
      <w:pPr>
        <w:pStyle w:val="Reference"/>
      </w:pPr>
      <w:r w:rsidRPr="00D13B67">
        <w:t xml:space="preserve">Titchkosky, T. (2003). </w:t>
      </w:r>
      <w:r w:rsidRPr="00D13B67">
        <w:rPr>
          <w:i/>
          <w:iCs/>
        </w:rPr>
        <w:t>Disability, Self, and Society</w:t>
      </w:r>
      <w:r w:rsidRPr="00D13B67">
        <w:t>. University of Toronto Press.</w:t>
      </w:r>
    </w:p>
    <w:p w14:paraId="436270EF" w14:textId="033E2907" w:rsidR="00447274" w:rsidRPr="00D13B67" w:rsidRDefault="008450CC" w:rsidP="00305C0E">
      <w:pPr>
        <w:pStyle w:val="Reference"/>
      </w:pPr>
      <w:r w:rsidRPr="00D13B67">
        <w:t xml:space="preserve">Titchkosky, T. (2011). </w:t>
      </w:r>
      <w:r w:rsidRPr="00D13B67">
        <w:rPr>
          <w:i/>
        </w:rPr>
        <w:t>The Question of Access: Disability, Space, Meaning</w:t>
      </w:r>
      <w:r w:rsidRPr="00D13B67">
        <w:t>. University of Toronto Press.</w:t>
      </w:r>
    </w:p>
    <w:p w14:paraId="2711262D" w14:textId="22ED88EF" w:rsidR="00F1617B" w:rsidRPr="00D13B67" w:rsidRDefault="00F1617B" w:rsidP="00305C0E">
      <w:pPr>
        <w:pStyle w:val="Reference"/>
      </w:pPr>
      <w:r w:rsidRPr="00D13B67">
        <w:t xml:space="preserve">Titchkosky, T., &amp; Michalko, R. (2012). The </w:t>
      </w:r>
      <w:r w:rsidR="00C14ABD" w:rsidRPr="00D13B67">
        <w:t>body</w:t>
      </w:r>
      <w:r w:rsidRPr="00D13B67">
        <w:t xml:space="preserve"> as the </w:t>
      </w:r>
      <w:r w:rsidR="00C14ABD" w:rsidRPr="00D13B67">
        <w:t>problem</w:t>
      </w:r>
      <w:r w:rsidRPr="00D13B67">
        <w:t xml:space="preserve"> of </w:t>
      </w:r>
      <w:r w:rsidR="00C14ABD" w:rsidRPr="00D13B67">
        <w:t>individuality</w:t>
      </w:r>
      <w:r w:rsidRPr="00D13B67">
        <w:t xml:space="preserve">: A </w:t>
      </w:r>
      <w:r w:rsidR="00C14ABD" w:rsidRPr="00D13B67">
        <w:t>phenomenological disability studies approach</w:t>
      </w:r>
      <w:r w:rsidRPr="00D13B67">
        <w:t xml:space="preserve">. In D. Goodley, B. Hughes, &amp; L. Davis (Eds.), </w:t>
      </w:r>
      <w:r w:rsidRPr="00D13B67">
        <w:rPr>
          <w:i/>
          <w:iCs/>
        </w:rPr>
        <w:t>Disability and Social Theory: New Developments and Directions</w:t>
      </w:r>
      <w:r w:rsidRPr="00D13B67">
        <w:t xml:space="preserve"> (pp. 127–142). Palgrave Macmillan UK. </w:t>
      </w:r>
      <w:hyperlink r:id="rId221" w:history="1">
        <w:r w:rsidRPr="00D13B67">
          <w:rPr>
            <w:rStyle w:val="Hyperlink"/>
          </w:rPr>
          <w:t>https://doi.org/10.1057/9781137023001_8</w:t>
        </w:r>
      </w:hyperlink>
    </w:p>
    <w:p w14:paraId="6D10E882" w14:textId="77777777" w:rsidR="0047099A" w:rsidRPr="00D13B67" w:rsidRDefault="0047099A" w:rsidP="00305C0E">
      <w:pPr>
        <w:pStyle w:val="Reference"/>
      </w:pPr>
      <w:r w:rsidRPr="00D13B67">
        <w:lastRenderedPageBreak/>
        <w:t xml:space="preserve">Tracy, S. J. (2010). Qualitative Quality: Eight “Big-Tent” Criteria for Excellent Qualitative Research. </w:t>
      </w:r>
      <w:r w:rsidRPr="00D13B67">
        <w:rPr>
          <w:i/>
          <w:iCs/>
        </w:rPr>
        <w:t>Qualitative Inquiry</w:t>
      </w:r>
      <w:r w:rsidRPr="00D13B67">
        <w:t xml:space="preserve">, </w:t>
      </w:r>
      <w:r w:rsidRPr="00D13B67">
        <w:rPr>
          <w:i/>
          <w:iCs/>
        </w:rPr>
        <w:t>16</w:t>
      </w:r>
      <w:r w:rsidRPr="00D13B67">
        <w:t xml:space="preserve">(10), 837–851. </w:t>
      </w:r>
      <w:hyperlink r:id="rId222" w:history="1">
        <w:r w:rsidRPr="00D13B67">
          <w:rPr>
            <w:rStyle w:val="Hyperlink"/>
          </w:rPr>
          <w:t>https://doi.org/10.1177/1077800410383121</w:t>
        </w:r>
      </w:hyperlink>
    </w:p>
    <w:p w14:paraId="51187CDE" w14:textId="11C0C6F4" w:rsidR="0093376E" w:rsidRPr="00D13B67" w:rsidRDefault="0093376E" w:rsidP="00305C0E">
      <w:pPr>
        <w:pStyle w:val="Reference"/>
      </w:pPr>
      <w:r w:rsidRPr="00D13B67">
        <w:t>Torbert, W. R. (1991). The power of balance: Transforming self, society, and scientific inquiry. Sage Publications.</w:t>
      </w:r>
    </w:p>
    <w:p w14:paraId="57F2490A" w14:textId="18EDFFDC" w:rsidR="00F1617B" w:rsidRPr="00D13B67" w:rsidRDefault="00F1617B" w:rsidP="00305C0E">
      <w:pPr>
        <w:pStyle w:val="Reference"/>
      </w:pPr>
      <w:r w:rsidRPr="00D13B67">
        <w:t xml:space="preserve">Toutain, C. (2019). Barriers to </w:t>
      </w:r>
      <w:r w:rsidR="00C14ABD" w:rsidRPr="00D13B67">
        <w:t>accommodations</w:t>
      </w:r>
      <w:r w:rsidRPr="00D13B67">
        <w:t xml:space="preserve"> for </w:t>
      </w:r>
      <w:r w:rsidR="00C14ABD" w:rsidRPr="00D13B67">
        <w:t>students</w:t>
      </w:r>
      <w:r w:rsidRPr="00D13B67">
        <w:t xml:space="preserve"> with </w:t>
      </w:r>
      <w:r w:rsidR="00C14ABD" w:rsidRPr="00D13B67">
        <w:t>disabilities</w:t>
      </w:r>
      <w:r w:rsidRPr="00D13B67">
        <w:t xml:space="preserve"> in </w:t>
      </w:r>
      <w:r w:rsidR="00C14ABD" w:rsidRPr="00D13B67">
        <w:t>higher education</w:t>
      </w:r>
      <w:r w:rsidRPr="00D13B67">
        <w:t xml:space="preserve">: A </w:t>
      </w:r>
      <w:r w:rsidR="00C14ABD" w:rsidRPr="00D13B67">
        <w:t>literature review</w:t>
      </w:r>
      <w:r w:rsidRPr="00D13B67">
        <w:t xml:space="preserve">. </w:t>
      </w:r>
      <w:r w:rsidRPr="00D13B67">
        <w:rPr>
          <w:i/>
          <w:iCs/>
        </w:rPr>
        <w:t>Journal of Postsecondary Education and Disability</w:t>
      </w:r>
      <w:r w:rsidRPr="00D13B67">
        <w:t xml:space="preserve">, </w:t>
      </w:r>
      <w:r w:rsidRPr="00D13B67">
        <w:rPr>
          <w:i/>
          <w:iCs/>
        </w:rPr>
        <w:t>32</w:t>
      </w:r>
      <w:r w:rsidRPr="00D13B67">
        <w:t>(3), 297–310.</w:t>
      </w:r>
      <w:r w:rsidR="00992741" w:rsidRPr="00D13B67">
        <w:t xml:space="preserve"> </w:t>
      </w:r>
      <w:hyperlink r:id="rId223" w:history="1">
        <w:r w:rsidR="00992741" w:rsidRPr="00D13B67">
          <w:rPr>
            <w:rStyle w:val="Hyperlink"/>
          </w:rPr>
          <w:t>https://eric.ed.gov/?id=eJ1236832</w:t>
        </w:r>
      </w:hyperlink>
    </w:p>
    <w:p w14:paraId="04E8E36C" w14:textId="7C912D17" w:rsidR="00F1617B" w:rsidRPr="00D13B67" w:rsidRDefault="00F1617B" w:rsidP="00305C0E">
      <w:pPr>
        <w:pStyle w:val="Reference"/>
      </w:pPr>
      <w:r w:rsidRPr="00D13B67">
        <w:t>Trammell, J. (2009). Red-</w:t>
      </w:r>
      <w:r w:rsidR="00C14ABD" w:rsidRPr="00D13B67">
        <w:t>shirting college students</w:t>
      </w:r>
      <w:r w:rsidRPr="00D13B67">
        <w:t xml:space="preserve"> with </w:t>
      </w:r>
      <w:r w:rsidR="00C14ABD" w:rsidRPr="00D13B67">
        <w:t>disabilities.</w:t>
      </w:r>
      <w:r w:rsidRPr="00D13B67">
        <w:t xml:space="preserve"> </w:t>
      </w:r>
      <w:r w:rsidRPr="00D13B67">
        <w:rPr>
          <w:i/>
          <w:iCs/>
        </w:rPr>
        <w:t>Learning Assistance Review</w:t>
      </w:r>
      <w:r w:rsidRPr="00D13B67">
        <w:t>,</w:t>
      </w:r>
      <w:r w:rsidRPr="00D13B67">
        <w:rPr>
          <w:i/>
        </w:rPr>
        <w:t xml:space="preserve"> </w:t>
      </w:r>
      <w:r w:rsidRPr="00D13B67">
        <w:rPr>
          <w:i/>
          <w:iCs/>
        </w:rPr>
        <w:t>14</w:t>
      </w:r>
      <w:r w:rsidR="00C14ABD" w:rsidRPr="00D13B67">
        <w:t>(2),</w:t>
      </w:r>
      <w:r w:rsidRPr="00D13B67">
        <w:t xml:space="preserve"> 21–3. </w:t>
      </w:r>
      <w:hyperlink r:id="rId224" w:history="1">
        <w:r w:rsidR="00C81B02" w:rsidRPr="00D13B67">
          <w:rPr>
            <w:rStyle w:val="Hyperlink"/>
          </w:rPr>
          <w:t>https://eric.ed.gov/?id=EJ866923</w:t>
        </w:r>
      </w:hyperlink>
    </w:p>
    <w:p w14:paraId="2BD59A49" w14:textId="03D4A9FD" w:rsidR="005B5294" w:rsidRPr="00D13B67" w:rsidRDefault="005B5294" w:rsidP="00305C0E">
      <w:pPr>
        <w:pStyle w:val="Reference"/>
      </w:pPr>
      <w:proofErr w:type="spellStart"/>
      <w:r w:rsidRPr="00D13B67">
        <w:t>Treviranus</w:t>
      </w:r>
      <w:proofErr w:type="spellEnd"/>
      <w:r w:rsidRPr="00D13B67">
        <w:t xml:space="preserve">, J. (2021). Too candid? I’m sorry, (but not really </w:t>
      </w:r>
      <w:proofErr w:type="gramStart"/>
      <w:r w:rsidRPr="00D13B67">
        <w:t>sorry)…</w:t>
      </w:r>
      <w:proofErr w:type="gramEnd"/>
      <w:r w:rsidRPr="00D13B67">
        <w:t xml:space="preserve">. </w:t>
      </w:r>
      <w:r w:rsidRPr="00D13B67">
        <w:rPr>
          <w:i/>
          <w:iCs/>
        </w:rPr>
        <w:t>Medium</w:t>
      </w:r>
      <w:r w:rsidRPr="00D13B67">
        <w:t xml:space="preserve">. </w:t>
      </w:r>
      <w:hyperlink r:id="rId225" w:history="1">
        <w:r w:rsidRPr="00D13B67">
          <w:rPr>
            <w:rStyle w:val="Hyperlink"/>
          </w:rPr>
          <w:t>https://medium.com/@jutta.trevira/too-candid-im-sorry-but-not-really-sorry-6255cfd5d730</w:t>
        </w:r>
      </w:hyperlink>
    </w:p>
    <w:p w14:paraId="4A1BC3E4" w14:textId="2398DA77" w:rsidR="00433A4E" w:rsidRPr="00D13B67" w:rsidRDefault="005B5294" w:rsidP="00305C0E">
      <w:pPr>
        <w:pStyle w:val="Reference"/>
      </w:pPr>
      <w:proofErr w:type="spellStart"/>
      <w:r w:rsidRPr="00D13B67">
        <w:t>Treviranus</w:t>
      </w:r>
      <w:proofErr w:type="spellEnd"/>
      <w:r w:rsidRPr="00D13B67">
        <w:t>, J.</w:t>
      </w:r>
      <w:r w:rsidR="00B54452" w:rsidRPr="00D13B67">
        <w:t xml:space="preserve"> </w:t>
      </w:r>
      <w:r w:rsidRPr="00D13B67">
        <w:t>(2023).</w:t>
      </w:r>
      <w:r w:rsidRPr="00D13B67">
        <w:rPr>
          <w:i/>
          <w:iCs/>
        </w:rPr>
        <w:t xml:space="preserve"> </w:t>
      </w:r>
      <w:r w:rsidRPr="00D13B67">
        <w:t>“</w:t>
      </w:r>
      <w:proofErr w:type="gramStart"/>
      <w:r w:rsidR="00C14ABD" w:rsidRPr="00D13B67">
        <w:t>preparing</w:t>
      </w:r>
      <w:proofErr w:type="gramEnd"/>
      <w:r w:rsidR="00C14ABD" w:rsidRPr="00D13B67">
        <w:t xml:space="preserve"> accessibility</w:t>
      </w:r>
      <w:r w:rsidRPr="00D13B67">
        <w:t xml:space="preserve"> for the </w:t>
      </w:r>
      <w:r w:rsidR="00C14ABD" w:rsidRPr="00D13B67">
        <w:t>future</w:t>
      </w:r>
      <w:r w:rsidRPr="00D13B67">
        <w:t xml:space="preserve"> and the </w:t>
      </w:r>
      <w:r w:rsidR="00C14ABD" w:rsidRPr="00D13B67">
        <w:t>present</w:t>
      </w:r>
      <w:r w:rsidRPr="00D13B67">
        <w:t xml:space="preserve">.” </w:t>
      </w:r>
      <w:r w:rsidRPr="00D13B67">
        <w:rPr>
          <w:i/>
          <w:iCs/>
        </w:rPr>
        <w:t>Axe-con 2023</w:t>
      </w:r>
      <w:r w:rsidRPr="00D13B67">
        <w:t xml:space="preserve">. </w:t>
      </w:r>
      <w:hyperlink r:id="rId226" w:history="1">
        <w:r w:rsidRPr="00D13B67">
          <w:rPr>
            <w:rStyle w:val="Hyperlink"/>
          </w:rPr>
          <w:t>https://www.youtube.com/watch?v=xTWlRLG48eE</w:t>
        </w:r>
      </w:hyperlink>
    </w:p>
    <w:p w14:paraId="260B8CB4" w14:textId="6FEA483A" w:rsidR="00E9326D" w:rsidRPr="00D13B67" w:rsidRDefault="00E9326D" w:rsidP="00305C0E">
      <w:pPr>
        <w:pStyle w:val="Reference"/>
      </w:pPr>
      <w:r w:rsidRPr="00D13B67">
        <w:t xml:space="preserve">Trybus, M. J., Breneman, D. L., &amp; Gravett, E. O. (2019). Ableism, </w:t>
      </w:r>
      <w:r w:rsidR="00C14ABD" w:rsidRPr="00D13B67">
        <w:t>accessibility</w:t>
      </w:r>
      <w:r w:rsidRPr="00D13B67">
        <w:t xml:space="preserve">, and </w:t>
      </w:r>
      <w:r w:rsidR="00C14ABD" w:rsidRPr="00D13B67">
        <w:t>educational development: a disability studies perspective</w:t>
      </w:r>
      <w:r w:rsidRPr="00D13B67">
        <w:t xml:space="preserve">. </w:t>
      </w:r>
      <w:r w:rsidRPr="00D13B67">
        <w:rPr>
          <w:i/>
          <w:iCs/>
        </w:rPr>
        <w:t>New Directions for Teaching and Learning</w:t>
      </w:r>
      <w:r w:rsidRPr="00D13B67">
        <w:t xml:space="preserve">, </w:t>
      </w:r>
      <w:r w:rsidRPr="00D13B67">
        <w:rPr>
          <w:i/>
          <w:iCs/>
        </w:rPr>
        <w:t>2019</w:t>
      </w:r>
      <w:r w:rsidRPr="00D13B67">
        <w:t xml:space="preserve">(158), 59–68. </w:t>
      </w:r>
      <w:hyperlink r:id="rId227" w:history="1">
        <w:r w:rsidRPr="00D13B67">
          <w:rPr>
            <w:rStyle w:val="Hyperlink"/>
          </w:rPr>
          <w:t>https://doi.org/10.1002/tl.20339</w:t>
        </w:r>
      </w:hyperlink>
    </w:p>
    <w:p w14:paraId="673234F7" w14:textId="3927ECDC" w:rsidR="00E538B9" w:rsidRPr="00D13B67" w:rsidRDefault="00E538B9" w:rsidP="00305C0E">
      <w:pPr>
        <w:pStyle w:val="Reference"/>
      </w:pPr>
      <w:r w:rsidRPr="00D13B67">
        <w:t xml:space="preserve">Tuck, E., &amp; Yang, K. W. (2013). R-Words: Refusing </w:t>
      </w:r>
      <w:r w:rsidR="00C14ABD" w:rsidRPr="00D13B67">
        <w:t>r</w:t>
      </w:r>
      <w:r w:rsidRPr="00D13B67">
        <w:t xml:space="preserve">esearch. In D. Paris &amp; M. T. Winn, </w:t>
      </w:r>
      <w:r w:rsidRPr="00D13B67">
        <w:rPr>
          <w:i/>
          <w:iCs/>
        </w:rPr>
        <w:t xml:space="preserve">Humanizing Research: Decolonizing Qualitative Inquiry </w:t>
      </w:r>
      <w:proofErr w:type="gramStart"/>
      <w:r w:rsidRPr="00D13B67">
        <w:rPr>
          <w:i/>
          <w:iCs/>
        </w:rPr>
        <w:t>With</w:t>
      </w:r>
      <w:proofErr w:type="gramEnd"/>
      <w:r w:rsidRPr="00D13B67">
        <w:rPr>
          <w:i/>
          <w:iCs/>
        </w:rPr>
        <w:t xml:space="preserve"> Youth and Communities</w:t>
      </w:r>
      <w:r w:rsidRPr="00D13B67">
        <w:t xml:space="preserve"> (pp. 223–247). SAGE Publications.</w:t>
      </w:r>
    </w:p>
    <w:p w14:paraId="715C3ABD" w14:textId="1D69FB41" w:rsidR="005A675B" w:rsidRPr="00D13B67" w:rsidRDefault="005A675B" w:rsidP="00305C0E">
      <w:pPr>
        <w:pStyle w:val="Reference"/>
      </w:pPr>
      <w:r w:rsidRPr="00D13B67">
        <w:t>Turner, J. L., &amp; Boice, R. (1986). Coping with resistance to faculty development.</w:t>
      </w:r>
    </w:p>
    <w:p w14:paraId="5D8256C3" w14:textId="3142DA9D" w:rsidR="005B5294" w:rsidRPr="00D13B67" w:rsidRDefault="00A12712" w:rsidP="00305C0E">
      <w:pPr>
        <w:pStyle w:val="Reference"/>
      </w:pPr>
      <w:r w:rsidRPr="00D13B67">
        <w:t xml:space="preserve">UNESCO. (1994). </w:t>
      </w:r>
      <w:r w:rsidRPr="00D13B67">
        <w:rPr>
          <w:i/>
          <w:iCs/>
        </w:rPr>
        <w:t>The Salamanca Statement and Framework for Action on Special Needs Education—UNESCO Digital Library</w:t>
      </w:r>
      <w:r w:rsidRPr="00D13B67">
        <w:t xml:space="preserve">. </w:t>
      </w:r>
      <w:hyperlink r:id="rId228" w:history="1">
        <w:r w:rsidRPr="00D13B67">
          <w:rPr>
            <w:rStyle w:val="Hyperlink"/>
          </w:rPr>
          <w:t>https://unesdoc.unesco.org/ark:/48223/pf0000098427</w:t>
        </w:r>
      </w:hyperlink>
    </w:p>
    <w:p w14:paraId="33BCDB0E" w14:textId="183C1DEF" w:rsidR="00A01FF1" w:rsidRPr="00D13B67" w:rsidRDefault="00A01FF1" w:rsidP="00305C0E">
      <w:pPr>
        <w:pStyle w:val="Reference"/>
      </w:pPr>
      <w:r w:rsidRPr="00D13B67">
        <w:t xml:space="preserve">Union of Physically Impaired Against Segregation. (1972). </w:t>
      </w:r>
      <w:r w:rsidRPr="00D13B67">
        <w:rPr>
          <w:i/>
          <w:iCs/>
        </w:rPr>
        <w:t xml:space="preserve">Policy </w:t>
      </w:r>
      <w:r w:rsidR="00C14ABD" w:rsidRPr="00D13B67">
        <w:rPr>
          <w:i/>
          <w:iCs/>
        </w:rPr>
        <w:t>s</w:t>
      </w:r>
      <w:r w:rsidRPr="00D13B67">
        <w:rPr>
          <w:i/>
          <w:iCs/>
        </w:rPr>
        <w:t>tatement</w:t>
      </w:r>
      <w:r w:rsidRPr="00D13B67">
        <w:t xml:space="preserve">. </w:t>
      </w:r>
      <w:hyperlink r:id="rId229" w:history="1">
        <w:r w:rsidRPr="00D13B67">
          <w:rPr>
            <w:rStyle w:val="Hyperlink"/>
          </w:rPr>
          <w:t>https://disability-studies.leeds.ac.uk/wp-content/uploads/sites/40/library/UPIAS-UPIAS.pdf</w:t>
        </w:r>
      </w:hyperlink>
    </w:p>
    <w:p w14:paraId="6F2C8572" w14:textId="50349EE1" w:rsidR="00A01FF1" w:rsidRPr="00D13B67" w:rsidRDefault="00A01FF1" w:rsidP="00305C0E">
      <w:pPr>
        <w:pStyle w:val="Reference"/>
      </w:pPr>
      <w:r w:rsidRPr="00D13B67">
        <w:lastRenderedPageBreak/>
        <w:t>Union of Physically Impaired Against Segregation. (197</w:t>
      </w:r>
      <w:r w:rsidR="00B226D0" w:rsidRPr="00D13B67">
        <w:t>6</w:t>
      </w:r>
      <w:r w:rsidRPr="00D13B67">
        <w:t xml:space="preserve">). </w:t>
      </w:r>
      <w:r w:rsidRPr="00D13B67">
        <w:rPr>
          <w:i/>
          <w:iCs/>
        </w:rPr>
        <w:t xml:space="preserve">Fundamental </w:t>
      </w:r>
      <w:r w:rsidR="00C14ABD" w:rsidRPr="00D13B67">
        <w:rPr>
          <w:i/>
          <w:iCs/>
        </w:rPr>
        <w:t>p</w:t>
      </w:r>
      <w:r w:rsidRPr="00D13B67">
        <w:rPr>
          <w:i/>
          <w:iCs/>
        </w:rPr>
        <w:t xml:space="preserve">rinciples of </w:t>
      </w:r>
      <w:r w:rsidR="00C14ABD" w:rsidRPr="00D13B67">
        <w:rPr>
          <w:i/>
          <w:iCs/>
        </w:rPr>
        <w:t>d</w:t>
      </w:r>
      <w:r w:rsidRPr="00D13B67">
        <w:rPr>
          <w:i/>
          <w:iCs/>
        </w:rPr>
        <w:t>isability</w:t>
      </w:r>
      <w:r w:rsidRPr="00D13B67">
        <w:t xml:space="preserve">. </w:t>
      </w:r>
      <w:hyperlink r:id="rId230" w:history="1">
        <w:r w:rsidRPr="00D13B67">
          <w:rPr>
            <w:rStyle w:val="Hyperlink"/>
          </w:rPr>
          <w:t>https://disability-studies.leeds.ac.uk/wp-content/uploads/sites/40/library/UPIAS-fundamental-principles.pdf</w:t>
        </w:r>
      </w:hyperlink>
    </w:p>
    <w:p w14:paraId="37BA0FC4" w14:textId="49B3CA8C" w:rsidR="008B374F" w:rsidRPr="00D13B67" w:rsidRDefault="008B374F" w:rsidP="00305C0E">
      <w:pPr>
        <w:pStyle w:val="Reference"/>
      </w:pPr>
      <w:r w:rsidRPr="00D13B67">
        <w:t xml:space="preserve">United Nations. (2006). </w:t>
      </w:r>
      <w:r w:rsidRPr="00D13B67">
        <w:rPr>
          <w:i/>
          <w:iCs/>
        </w:rPr>
        <w:t xml:space="preserve">Convention on the </w:t>
      </w:r>
      <w:r w:rsidR="00C14ABD" w:rsidRPr="00D13B67">
        <w:rPr>
          <w:i/>
          <w:iCs/>
        </w:rPr>
        <w:t>rights</w:t>
      </w:r>
      <w:r w:rsidRPr="00D13B67">
        <w:rPr>
          <w:i/>
          <w:iCs/>
        </w:rPr>
        <w:t xml:space="preserve"> of </w:t>
      </w:r>
      <w:r w:rsidR="00C14ABD" w:rsidRPr="00D13B67">
        <w:rPr>
          <w:i/>
          <w:iCs/>
        </w:rPr>
        <w:t>persons</w:t>
      </w:r>
      <w:r w:rsidRPr="00D13B67">
        <w:rPr>
          <w:i/>
          <w:iCs/>
        </w:rPr>
        <w:t xml:space="preserve"> with </w:t>
      </w:r>
      <w:r w:rsidR="00C14ABD" w:rsidRPr="00D13B67">
        <w:rPr>
          <w:i/>
          <w:iCs/>
        </w:rPr>
        <w:t>disabilities</w:t>
      </w:r>
      <w:r w:rsidRPr="00D13B67">
        <w:t xml:space="preserve">. OHCHR. </w:t>
      </w:r>
      <w:hyperlink r:id="rId231" w:history="1">
        <w:r w:rsidRPr="00D13B67">
          <w:rPr>
            <w:rStyle w:val="Hyperlink"/>
          </w:rPr>
          <w:t>https://www.ohchr.org/en/instruments-mechanisms/instruments/convention-rights-persons-disabilities</w:t>
        </w:r>
      </w:hyperlink>
    </w:p>
    <w:p w14:paraId="3E9302F1" w14:textId="12D6F21E" w:rsidR="008B374F" w:rsidRPr="00D13B67" w:rsidRDefault="008B374F" w:rsidP="00305C0E">
      <w:pPr>
        <w:pStyle w:val="Reference"/>
      </w:pPr>
      <w:r w:rsidRPr="00D13B67">
        <w:t xml:space="preserve">W3C Web Accessibility Initiative. (1999). </w:t>
      </w:r>
      <w:r w:rsidRPr="00D13B67">
        <w:rPr>
          <w:i/>
          <w:iCs/>
        </w:rPr>
        <w:t xml:space="preserve">Web </w:t>
      </w:r>
      <w:r w:rsidR="00C14ABD" w:rsidRPr="00D13B67">
        <w:rPr>
          <w:i/>
          <w:iCs/>
        </w:rPr>
        <w:t xml:space="preserve">content accessibility guidelines </w:t>
      </w:r>
      <w:r w:rsidRPr="00D13B67">
        <w:rPr>
          <w:i/>
          <w:iCs/>
        </w:rPr>
        <w:t>1.0</w:t>
      </w:r>
      <w:r w:rsidRPr="00D13B67">
        <w:t xml:space="preserve">. </w:t>
      </w:r>
      <w:hyperlink r:id="rId232" w:history="1">
        <w:r w:rsidRPr="00D13B67">
          <w:rPr>
            <w:rStyle w:val="Hyperlink"/>
          </w:rPr>
          <w:t>https://www.w3.org/TR/WAI-WEBCONTENT/</w:t>
        </w:r>
      </w:hyperlink>
    </w:p>
    <w:p w14:paraId="28E4A8C6" w14:textId="66FEB940" w:rsidR="008B374F" w:rsidRPr="00D13B67" w:rsidRDefault="008B374F" w:rsidP="00305C0E">
      <w:pPr>
        <w:pStyle w:val="Reference"/>
      </w:pPr>
      <w:r w:rsidRPr="00D13B67">
        <w:t xml:space="preserve">W3C Web Accessibility Initiative. (2008). </w:t>
      </w:r>
      <w:r w:rsidR="00C14ABD" w:rsidRPr="00D13B67">
        <w:rPr>
          <w:i/>
          <w:iCs/>
        </w:rPr>
        <w:t xml:space="preserve">Web content accessibility guidelines </w:t>
      </w:r>
      <w:r w:rsidRPr="00D13B67">
        <w:rPr>
          <w:i/>
          <w:iCs/>
        </w:rPr>
        <w:t>(WCAG) 2.0</w:t>
      </w:r>
      <w:r w:rsidRPr="00D13B67">
        <w:t xml:space="preserve">. </w:t>
      </w:r>
      <w:hyperlink r:id="rId233" w:history="1">
        <w:r w:rsidRPr="00D13B67">
          <w:rPr>
            <w:rStyle w:val="Hyperlink"/>
          </w:rPr>
          <w:t>https://www.w3.org/TR/WCAG20/</w:t>
        </w:r>
      </w:hyperlink>
    </w:p>
    <w:p w14:paraId="672B89DF" w14:textId="535D176F" w:rsidR="008B374F" w:rsidRPr="00D13B67" w:rsidRDefault="008B374F" w:rsidP="00305C0E">
      <w:pPr>
        <w:pStyle w:val="Reference"/>
      </w:pPr>
      <w:r w:rsidRPr="00D13B67">
        <w:t xml:space="preserve">W3C Web Accessibility Initiative. (2024a). </w:t>
      </w:r>
      <w:r w:rsidR="00C14ABD" w:rsidRPr="00D13B67">
        <w:rPr>
          <w:i/>
          <w:iCs/>
        </w:rPr>
        <w:t xml:space="preserve">Web content accessibility guidelines </w:t>
      </w:r>
      <w:r w:rsidRPr="00D13B67">
        <w:rPr>
          <w:i/>
          <w:iCs/>
        </w:rPr>
        <w:t>(WCAG) 2.2</w:t>
      </w:r>
      <w:r w:rsidRPr="00D13B67">
        <w:t xml:space="preserve">. </w:t>
      </w:r>
      <w:hyperlink r:id="rId234" w:history="1">
        <w:r w:rsidRPr="00D13B67">
          <w:rPr>
            <w:rStyle w:val="Hyperlink"/>
          </w:rPr>
          <w:t>https://www.w3.org/TR/WCAG22/</w:t>
        </w:r>
      </w:hyperlink>
    </w:p>
    <w:p w14:paraId="0C5516F7" w14:textId="5815A3D8" w:rsidR="008B374F" w:rsidRPr="00D13B67" w:rsidRDefault="008B374F" w:rsidP="00305C0E">
      <w:pPr>
        <w:pStyle w:val="Reference"/>
      </w:pPr>
      <w:r w:rsidRPr="00D13B67">
        <w:t xml:space="preserve">W3C Web Accessibility Initiative. (2024b). </w:t>
      </w:r>
      <w:r w:rsidRPr="00D13B67">
        <w:rPr>
          <w:i/>
          <w:iCs/>
        </w:rPr>
        <w:t xml:space="preserve">Explainer for </w:t>
      </w:r>
      <w:r w:rsidR="00C14ABD" w:rsidRPr="00D13B67">
        <w:rPr>
          <w:i/>
          <w:iCs/>
        </w:rPr>
        <w:t>w3c accessibility guidelines</w:t>
      </w:r>
      <w:r w:rsidRPr="00D13B67">
        <w:rPr>
          <w:i/>
          <w:iCs/>
        </w:rPr>
        <w:t xml:space="preserve"> (WCAG) 3.0</w:t>
      </w:r>
      <w:r w:rsidRPr="00D13B67">
        <w:t xml:space="preserve">. </w:t>
      </w:r>
      <w:hyperlink r:id="rId235" w:anchor="goals" w:history="1">
        <w:r w:rsidRPr="00D13B67">
          <w:rPr>
            <w:rStyle w:val="Hyperlink"/>
          </w:rPr>
          <w:t>https://www.w3.org/TR/wcag-3.0-explainer/#goals</w:t>
        </w:r>
      </w:hyperlink>
    </w:p>
    <w:p w14:paraId="28F77116" w14:textId="134BEC63" w:rsidR="008B374F" w:rsidRPr="00D13B67" w:rsidRDefault="008B374F" w:rsidP="00305C0E">
      <w:pPr>
        <w:pStyle w:val="Reference"/>
      </w:pPr>
      <w:r w:rsidRPr="00D13B67">
        <w:t xml:space="preserve">W3C Web Accessibility Initiative. (2025, June 17). </w:t>
      </w:r>
      <w:r w:rsidR="00C14ABD" w:rsidRPr="00D13B67">
        <w:rPr>
          <w:i/>
          <w:iCs/>
        </w:rPr>
        <w:t>Web accessibility laws &amp; policies</w:t>
      </w:r>
      <w:r w:rsidRPr="00D13B67">
        <w:t xml:space="preserve">. W3C Web Accessibility Initiative. </w:t>
      </w:r>
      <w:hyperlink r:id="rId236" w:history="1">
        <w:r w:rsidRPr="00D13B67">
          <w:rPr>
            <w:rStyle w:val="Hyperlink"/>
          </w:rPr>
          <w:t>https://www.w3.org/WAI/policies/</w:t>
        </w:r>
      </w:hyperlink>
    </w:p>
    <w:p w14:paraId="5D85D575" w14:textId="75A87886" w:rsidR="007307C9" w:rsidRPr="00D13B67" w:rsidRDefault="007307C9" w:rsidP="00305C0E">
      <w:pPr>
        <w:pStyle w:val="Reference"/>
      </w:pPr>
      <w:r w:rsidRPr="00D13B67">
        <w:t xml:space="preserve">Waddell, C. D. (2006). U.S. </w:t>
      </w:r>
      <w:r w:rsidR="00C14ABD" w:rsidRPr="00D13B67">
        <w:t>web accessibility law</w:t>
      </w:r>
      <w:r w:rsidRPr="00D13B67">
        <w:t xml:space="preserve"> in </w:t>
      </w:r>
      <w:r w:rsidR="00C14ABD" w:rsidRPr="00D13B67">
        <w:t>depth</w:t>
      </w:r>
      <w:r w:rsidRPr="00D13B67">
        <w:t xml:space="preserve">. In J. Thatcher, M. R. Burks, C. Heilmann, S. L. Henry, A. Kirkpatrick, P. H. Lauke, B. Lawson, B. Regan, R. Rutter, M. Urban, &amp; C. D. Waddell (Eds.), </w:t>
      </w:r>
      <w:r w:rsidRPr="00D13B67">
        <w:rPr>
          <w:i/>
          <w:iCs/>
        </w:rPr>
        <w:t>Web Accessibility: Web Standards and Regulatory Compliance</w:t>
      </w:r>
      <w:r w:rsidRPr="00D13B67">
        <w:t xml:space="preserve"> (pp. 511–544). </w:t>
      </w:r>
      <w:proofErr w:type="spellStart"/>
      <w:r w:rsidRPr="00D13B67">
        <w:t>Apress</w:t>
      </w:r>
      <w:proofErr w:type="spellEnd"/>
      <w:r w:rsidRPr="00D13B67">
        <w:t xml:space="preserve">. </w:t>
      </w:r>
      <w:hyperlink r:id="rId237" w:history="1">
        <w:r w:rsidRPr="00D13B67">
          <w:rPr>
            <w:rStyle w:val="Hyperlink"/>
          </w:rPr>
          <w:t>https://doi.org/10.1007/978-1-4302-0188-5_16</w:t>
        </w:r>
      </w:hyperlink>
    </w:p>
    <w:p w14:paraId="01F001C3" w14:textId="2DC96E01" w:rsidR="00433274" w:rsidRPr="00D13B67" w:rsidRDefault="00433274" w:rsidP="00305C0E">
      <w:pPr>
        <w:pStyle w:val="Reference"/>
      </w:pPr>
      <w:r w:rsidRPr="00D13B67">
        <w:t xml:space="preserve">Walz, M. (2024). Understanding the technology barriers experienced by students with disabilities in higher education. </w:t>
      </w:r>
      <w:r w:rsidRPr="00D13B67">
        <w:rPr>
          <w:i/>
          <w:iCs/>
        </w:rPr>
        <w:t>Doctor of Education Program Dissertations</w:t>
      </w:r>
      <w:r w:rsidRPr="00D13B67">
        <w:t xml:space="preserve">. </w:t>
      </w:r>
      <w:hyperlink r:id="rId238" w:history="1">
        <w:r w:rsidRPr="00D13B67">
          <w:rPr>
            <w:rStyle w:val="Hyperlink"/>
          </w:rPr>
          <w:t>https://dune.une.edu/edu_diss/40</w:t>
        </w:r>
      </w:hyperlink>
    </w:p>
    <w:p w14:paraId="725AE056" w14:textId="2696880B" w:rsidR="007307C9" w:rsidRPr="00D13B67" w:rsidRDefault="007307C9" w:rsidP="00305C0E">
      <w:pPr>
        <w:pStyle w:val="Reference"/>
      </w:pPr>
      <w:r w:rsidRPr="00D13B67">
        <w:t xml:space="preserve">Wang, L. L., Cachola, I., Bragg, J., Cheng, E. Y.-Y., Haupt, C., Latzke, M., Kuehl, B., Van Zuylen, M. N., Wagner, L., &amp; Weld, D. (2021). SciA11y: Converting </w:t>
      </w:r>
      <w:r w:rsidR="00C14ABD" w:rsidRPr="00D13B67">
        <w:t>scientific papers</w:t>
      </w:r>
      <w:r w:rsidRPr="00D13B67">
        <w:t xml:space="preserve"> to </w:t>
      </w:r>
      <w:r w:rsidR="00C14ABD" w:rsidRPr="00D13B67">
        <w:t>accessible</w:t>
      </w:r>
      <w:r w:rsidRPr="00D13B67">
        <w:t xml:space="preserve"> HTML. </w:t>
      </w:r>
      <w:r w:rsidRPr="00D13B67">
        <w:rPr>
          <w:i/>
          <w:iCs/>
        </w:rPr>
        <w:t>Proceedings of the 23rd International ACM SIGACCESS Conference on Computers and Accessibility</w:t>
      </w:r>
      <w:r w:rsidRPr="00D13B67">
        <w:t xml:space="preserve">, 1–4. </w:t>
      </w:r>
      <w:hyperlink r:id="rId239" w:history="1">
        <w:r w:rsidRPr="00D13B67">
          <w:rPr>
            <w:rStyle w:val="Hyperlink"/>
          </w:rPr>
          <w:t>https://doi.org/10.1145/3441852.3476545</w:t>
        </w:r>
      </w:hyperlink>
    </w:p>
    <w:p w14:paraId="235D4698" w14:textId="77777777" w:rsidR="007307C9" w:rsidRPr="00D13B67" w:rsidRDefault="007307C9" w:rsidP="00305C0E">
      <w:pPr>
        <w:pStyle w:val="Reference"/>
      </w:pPr>
      <w:proofErr w:type="spellStart"/>
      <w:r w:rsidRPr="00D13B67">
        <w:t>WebAIM</w:t>
      </w:r>
      <w:proofErr w:type="spellEnd"/>
      <w:r w:rsidRPr="00D13B67">
        <w:t xml:space="preserve">. (2019). </w:t>
      </w:r>
      <w:proofErr w:type="spellStart"/>
      <w:r w:rsidRPr="00D13B67">
        <w:rPr>
          <w:i/>
          <w:iCs/>
        </w:rPr>
        <w:t>WebAIM</w:t>
      </w:r>
      <w:proofErr w:type="spellEnd"/>
      <w:r w:rsidRPr="00D13B67">
        <w:rPr>
          <w:i/>
          <w:iCs/>
        </w:rPr>
        <w:t xml:space="preserve">: The </w:t>
      </w:r>
      <w:proofErr w:type="spellStart"/>
      <w:r w:rsidRPr="00D13B67">
        <w:rPr>
          <w:i/>
          <w:iCs/>
        </w:rPr>
        <w:t>WebAIM</w:t>
      </w:r>
      <w:proofErr w:type="spellEnd"/>
      <w:r w:rsidRPr="00D13B67">
        <w:rPr>
          <w:i/>
          <w:iCs/>
        </w:rPr>
        <w:t xml:space="preserve"> Million—2019—An accessibility analysis of the top 1,000,000 home pages</w:t>
      </w:r>
      <w:r w:rsidRPr="00D13B67">
        <w:t xml:space="preserve">. </w:t>
      </w:r>
      <w:hyperlink r:id="rId240" w:history="1">
        <w:r w:rsidRPr="00D13B67">
          <w:rPr>
            <w:rStyle w:val="Hyperlink"/>
          </w:rPr>
          <w:t>https://webaim.org/projects/million/2019</w:t>
        </w:r>
      </w:hyperlink>
    </w:p>
    <w:p w14:paraId="4C69F8BB" w14:textId="1F895CAD" w:rsidR="007307C9" w:rsidRPr="00D13B67" w:rsidRDefault="007307C9" w:rsidP="00305C0E">
      <w:pPr>
        <w:pStyle w:val="Reference"/>
      </w:pPr>
      <w:proofErr w:type="spellStart"/>
      <w:r w:rsidRPr="00D13B67">
        <w:lastRenderedPageBreak/>
        <w:t>WebAIM</w:t>
      </w:r>
      <w:proofErr w:type="spellEnd"/>
      <w:r w:rsidRPr="00D13B67">
        <w:t>. (202</w:t>
      </w:r>
      <w:r w:rsidR="00A17242" w:rsidRPr="00D13B67">
        <w:t>6</w:t>
      </w:r>
      <w:r w:rsidRPr="00D13B67">
        <w:t xml:space="preserve">). </w:t>
      </w:r>
      <w:proofErr w:type="spellStart"/>
      <w:r w:rsidRPr="00D13B67">
        <w:rPr>
          <w:i/>
          <w:iCs/>
        </w:rPr>
        <w:t>WebAIM</w:t>
      </w:r>
      <w:proofErr w:type="spellEnd"/>
      <w:r w:rsidRPr="00D13B67">
        <w:rPr>
          <w:i/>
          <w:iCs/>
        </w:rPr>
        <w:t xml:space="preserve">: The </w:t>
      </w:r>
      <w:proofErr w:type="spellStart"/>
      <w:r w:rsidRPr="00D13B67">
        <w:rPr>
          <w:i/>
          <w:iCs/>
        </w:rPr>
        <w:t>WebAIM</w:t>
      </w:r>
      <w:proofErr w:type="spellEnd"/>
      <w:r w:rsidRPr="00D13B67">
        <w:rPr>
          <w:i/>
          <w:iCs/>
        </w:rPr>
        <w:t xml:space="preserve"> Million—The 202</w:t>
      </w:r>
      <w:r w:rsidR="00A17242" w:rsidRPr="00D13B67">
        <w:rPr>
          <w:i/>
          <w:iCs/>
        </w:rPr>
        <w:t>6</w:t>
      </w:r>
      <w:r w:rsidRPr="00D13B67">
        <w:rPr>
          <w:i/>
          <w:iCs/>
        </w:rPr>
        <w:t xml:space="preserve"> report on the accessibility of the top 1,000,000 home pages</w:t>
      </w:r>
      <w:r w:rsidRPr="00D13B67">
        <w:t xml:space="preserve">. </w:t>
      </w:r>
      <w:hyperlink r:id="rId241" w:history="1">
        <w:r w:rsidRPr="00D13B67">
          <w:rPr>
            <w:rStyle w:val="Hyperlink"/>
          </w:rPr>
          <w:t>https://webaim.org/projects/million/</w:t>
        </w:r>
      </w:hyperlink>
    </w:p>
    <w:p w14:paraId="29F153AF" w14:textId="056CA8F0" w:rsidR="00670D1F" w:rsidRPr="00D13B67" w:rsidRDefault="007307C9" w:rsidP="00305C0E">
      <w:pPr>
        <w:pStyle w:val="Reference"/>
      </w:pPr>
      <w:r w:rsidRPr="00D13B67">
        <w:t xml:space="preserve">Wentz, B., Jaeger, P. T., &amp; Lazar, J. (2011). Retrofitting accessibility: The legal inequality of after-the-fact online access for persons with disabilities in the United States. </w:t>
      </w:r>
      <w:r w:rsidRPr="00D13B67">
        <w:rPr>
          <w:i/>
          <w:iCs/>
        </w:rPr>
        <w:t>First Monday</w:t>
      </w:r>
      <w:r w:rsidRPr="00D13B67">
        <w:t xml:space="preserve">. </w:t>
      </w:r>
      <w:hyperlink r:id="rId242" w:history="1">
        <w:r w:rsidRPr="00D13B67">
          <w:rPr>
            <w:rStyle w:val="Hyperlink"/>
          </w:rPr>
          <w:t>https://doi.org/10.5210/fm.v16i11.3666</w:t>
        </w:r>
      </w:hyperlink>
    </w:p>
    <w:p w14:paraId="5676C90B" w14:textId="7A8549B3" w:rsidR="00E9326D" w:rsidRPr="00D13B67" w:rsidRDefault="00A01FF1" w:rsidP="00305C0E">
      <w:pPr>
        <w:pStyle w:val="Reference"/>
      </w:pPr>
      <w:r w:rsidRPr="00D13B67">
        <w:t xml:space="preserve">Williams, G. (2001). Theorizing </w:t>
      </w:r>
      <w:r w:rsidR="00C14ABD" w:rsidRPr="00D13B67">
        <w:t>d</w:t>
      </w:r>
      <w:r w:rsidRPr="00D13B67">
        <w:t xml:space="preserve">isability. In G. L. Albrecht, K. D. Seelman, &amp; M. Bury, </w:t>
      </w:r>
      <w:r w:rsidRPr="00D13B67">
        <w:rPr>
          <w:i/>
          <w:iCs/>
        </w:rPr>
        <w:t>Handbook of Disability Studies</w:t>
      </w:r>
      <w:r w:rsidRPr="00D13B67">
        <w:t xml:space="preserve"> (pp. 12–144). SAGE Publications.</w:t>
      </w:r>
    </w:p>
    <w:p w14:paraId="5D36549A" w14:textId="48E934C6" w:rsidR="006839E4" w:rsidRPr="00D13B67" w:rsidRDefault="006839E4" w:rsidP="00305C0E">
      <w:pPr>
        <w:pStyle w:val="Reference"/>
      </w:pPr>
      <w:r w:rsidRPr="00D13B67">
        <w:t xml:space="preserve">Wilson, S., Roper, A., Marshall, J., </w:t>
      </w:r>
      <w:proofErr w:type="spellStart"/>
      <w:r w:rsidRPr="00D13B67">
        <w:t>Galliers</w:t>
      </w:r>
      <w:proofErr w:type="spellEnd"/>
      <w:r w:rsidRPr="00D13B67">
        <w:t xml:space="preserve">, J., Devane, N., Booth, T., &amp; Woolf, C. (2015). Codesign for people with aphasia through tangible design languages. </w:t>
      </w:r>
      <w:proofErr w:type="spellStart"/>
      <w:r w:rsidRPr="00D13B67">
        <w:rPr>
          <w:i/>
          <w:iCs/>
        </w:rPr>
        <w:t>CoDesign</w:t>
      </w:r>
      <w:proofErr w:type="spellEnd"/>
      <w:r w:rsidRPr="00D13B67">
        <w:t xml:space="preserve">, </w:t>
      </w:r>
      <w:r w:rsidRPr="00D13B67">
        <w:rPr>
          <w:i/>
          <w:iCs/>
        </w:rPr>
        <w:t>11</w:t>
      </w:r>
      <w:r w:rsidRPr="00D13B67">
        <w:t xml:space="preserve">(1), 21–34. </w:t>
      </w:r>
      <w:hyperlink r:id="rId243" w:history="1">
        <w:r w:rsidRPr="00D13B67">
          <w:rPr>
            <w:rStyle w:val="Hyperlink"/>
          </w:rPr>
          <w:t>https://doi.org/10.1080/15710882.2014.997744</w:t>
        </w:r>
      </w:hyperlink>
    </w:p>
    <w:p w14:paraId="39B9C6EC" w14:textId="15F93B82" w:rsidR="707637E4" w:rsidRPr="00D13B67" w:rsidRDefault="707637E4" w:rsidP="00305C0E">
      <w:pPr>
        <w:pStyle w:val="Reference"/>
      </w:pPr>
      <w:r w:rsidRPr="00D13B67">
        <w:t xml:space="preserve">Withers, A. J. (2012). </w:t>
      </w:r>
      <w:r w:rsidRPr="00D13B67">
        <w:rPr>
          <w:i/>
          <w:iCs/>
        </w:rPr>
        <w:t>Disability Politics and Theory</w:t>
      </w:r>
      <w:r w:rsidRPr="00D13B67">
        <w:t>. Fernwood Pub.</w:t>
      </w:r>
    </w:p>
    <w:p w14:paraId="13998269" w14:textId="77777777" w:rsidR="1B1AE239" w:rsidRPr="00D13B67" w:rsidRDefault="1B1AE239" w:rsidP="00305C0E">
      <w:pPr>
        <w:pStyle w:val="Reference"/>
      </w:pPr>
      <w:r w:rsidRPr="00D13B67">
        <w:t xml:space="preserve">Woodward, J. (1982). How you </w:t>
      </w:r>
      <w:proofErr w:type="spellStart"/>
      <w:r w:rsidRPr="00D13B67">
        <w:t>gonna</w:t>
      </w:r>
      <w:proofErr w:type="spellEnd"/>
      <w:r w:rsidRPr="00D13B67">
        <w:t xml:space="preserve"> get to Heaven if you can’t talk with Jesus: On </w:t>
      </w:r>
      <w:proofErr w:type="spellStart"/>
      <w:r w:rsidRPr="00D13B67">
        <w:t>depathologizing</w:t>
      </w:r>
      <w:proofErr w:type="spellEnd"/>
      <w:r w:rsidRPr="00D13B67">
        <w:t xml:space="preserve"> deafness. T.J. Publishers.</w:t>
      </w:r>
    </w:p>
    <w:p w14:paraId="0570EC11" w14:textId="34581A40" w:rsidR="007307C9" w:rsidRPr="00D13B67" w:rsidRDefault="00745C23" w:rsidP="00305C0E">
      <w:pPr>
        <w:pStyle w:val="Reference"/>
      </w:pPr>
      <w:r w:rsidRPr="00D13B67">
        <w:t>Workforce Investment Act of 1998, Pub. L. Nos. 105–220 (1998).</w:t>
      </w:r>
    </w:p>
    <w:p w14:paraId="0EC1C7B7" w14:textId="40C943A7" w:rsidR="00FD7AE8" w:rsidRPr="00D13B67" w:rsidRDefault="00FD7AE8" w:rsidP="00305C0E">
      <w:pPr>
        <w:pStyle w:val="Reference"/>
      </w:pPr>
      <w:r w:rsidRPr="00D13B67">
        <w:t xml:space="preserve">World Health Organization. (1980). International classification of impairments, disabilities, and handicaps: A manual of classification relating to the consequences of disease, published in accordance with resolution of the Twenty-ninth World Health Assembly, May 1976. </w:t>
      </w:r>
      <w:hyperlink r:id="rId244" w:history="1">
        <w:r w:rsidRPr="00D13B67">
          <w:rPr>
            <w:rStyle w:val="Hyperlink"/>
          </w:rPr>
          <w:t>https://iris.who.int/items/52433d37-0300-43d0-b7de-359f1486339f</w:t>
        </w:r>
      </w:hyperlink>
    </w:p>
    <w:p w14:paraId="30783624" w14:textId="59650837" w:rsidR="00FD7AE8" w:rsidRPr="00D13B67" w:rsidRDefault="00FD7AE8" w:rsidP="00305C0E">
      <w:pPr>
        <w:pStyle w:val="Reference"/>
      </w:pPr>
      <w:r w:rsidRPr="00D13B67">
        <w:t xml:space="preserve">World Health Organization. (2011). World report on disability. </w:t>
      </w:r>
      <w:hyperlink r:id="rId245" w:history="1">
        <w:r w:rsidRPr="00D13B67">
          <w:rPr>
            <w:rStyle w:val="Hyperlink"/>
          </w:rPr>
          <w:t>https://www.who.int/publications/i/item/9789241564182</w:t>
        </w:r>
      </w:hyperlink>
    </w:p>
    <w:p w14:paraId="032CC47C" w14:textId="77777777" w:rsidR="4D28A08C" w:rsidRPr="00D13B67" w:rsidRDefault="4D28A08C" w:rsidP="00305C0E">
      <w:pPr>
        <w:pStyle w:val="Reference"/>
      </w:pPr>
      <w:r w:rsidRPr="00D13B67">
        <w:t xml:space="preserve">World Health Organization. (2022). </w:t>
      </w:r>
      <w:r w:rsidRPr="00D13B67">
        <w:rPr>
          <w:i/>
          <w:iCs/>
        </w:rPr>
        <w:t>Global report on health equity for persons with disabilities.</w:t>
      </w:r>
      <w:r w:rsidRPr="00D13B67">
        <w:t xml:space="preserve"> </w:t>
      </w:r>
      <w:hyperlink r:id="rId246">
        <w:r w:rsidRPr="00D13B67">
          <w:rPr>
            <w:rStyle w:val="Hyperlink"/>
          </w:rPr>
          <w:t>https://www.who.int/publications/i/item/9789240063600</w:t>
        </w:r>
      </w:hyperlink>
    </w:p>
    <w:p w14:paraId="7A1485A2" w14:textId="02BD7F8B" w:rsidR="007E6095" w:rsidRPr="00D13B67" w:rsidRDefault="007E6095" w:rsidP="00305C0E">
      <w:pPr>
        <w:pStyle w:val="Reference"/>
        <w:rPr>
          <w:rStyle w:val="Hyperlink"/>
        </w:rPr>
      </w:pPr>
      <w:r w:rsidRPr="00D13B67">
        <w:t xml:space="preserve">Worth, R. (1999, June 1). The </w:t>
      </w:r>
      <w:r w:rsidR="00E71618" w:rsidRPr="00D13B67">
        <w:t>s</w:t>
      </w:r>
      <w:r w:rsidRPr="00D13B67">
        <w:t xml:space="preserve">candal of </w:t>
      </w:r>
      <w:r w:rsidR="00E71618" w:rsidRPr="00D13B67">
        <w:t>s</w:t>
      </w:r>
      <w:r w:rsidRPr="00D13B67">
        <w:t xml:space="preserve">pecial-Ed. </w:t>
      </w:r>
      <w:r w:rsidRPr="00D13B67">
        <w:rPr>
          <w:i/>
        </w:rPr>
        <w:t>Washington Monthly</w:t>
      </w:r>
      <w:r w:rsidRPr="00D13B67">
        <w:t>.</w:t>
      </w:r>
      <w:r w:rsidRPr="00D13B67">
        <w:rPr>
          <w:rStyle w:val="Hyperlink"/>
        </w:rPr>
        <w:t xml:space="preserve"> https://washingtonmonthly.com/1999/06/01/the-scandal-of-special-ed/</w:t>
      </w:r>
    </w:p>
    <w:p w14:paraId="2C496EDB" w14:textId="77777777" w:rsidR="00C835B6" w:rsidRPr="00D13B67" w:rsidRDefault="00C835B6" w:rsidP="00305C0E">
      <w:pPr>
        <w:pStyle w:val="Reference"/>
      </w:pPr>
      <w:r w:rsidRPr="00D13B67">
        <w:t xml:space="preserve">Wu, F. Y., </w:t>
      </w:r>
      <w:proofErr w:type="spellStart"/>
      <w:r w:rsidRPr="00D13B67">
        <w:t>Nittrouer</w:t>
      </w:r>
      <w:proofErr w:type="spellEnd"/>
      <w:r w:rsidRPr="00D13B67">
        <w:t xml:space="preserve">, C., Nguyen, V., Hebl, M., Oswald, F. L., &amp; Frieden, L. (2022). Now protected or still stigmatized? A 25-year outlook on the impact of the Americans with Disabilities Act. </w:t>
      </w:r>
      <w:r w:rsidRPr="00D13B67">
        <w:rPr>
          <w:i/>
          <w:iCs/>
        </w:rPr>
        <w:t>Equality, Diversity and Inclusion: An International Journal</w:t>
      </w:r>
      <w:r w:rsidRPr="00D13B67">
        <w:t xml:space="preserve">, </w:t>
      </w:r>
      <w:r w:rsidRPr="00D13B67">
        <w:rPr>
          <w:i/>
          <w:iCs/>
        </w:rPr>
        <w:t>41</w:t>
      </w:r>
      <w:r w:rsidRPr="00D13B67">
        <w:t xml:space="preserve">(3), 383–403. </w:t>
      </w:r>
      <w:hyperlink r:id="rId247" w:history="1">
        <w:r w:rsidRPr="00D13B67">
          <w:rPr>
            <w:rStyle w:val="Hyperlink"/>
          </w:rPr>
          <w:t>https://doi.org/10.1108/EDI-06-2020-0173</w:t>
        </w:r>
      </w:hyperlink>
    </w:p>
    <w:p w14:paraId="182E866D" w14:textId="77777777" w:rsidR="00C835B6" w:rsidRPr="00D13B67" w:rsidRDefault="00C835B6" w:rsidP="00305C0E">
      <w:pPr>
        <w:pStyle w:val="Reference"/>
      </w:pPr>
      <w:r w:rsidRPr="00D13B67">
        <w:lastRenderedPageBreak/>
        <w:t xml:space="preserve">Yau, N. (2023). </w:t>
      </w:r>
      <w:r w:rsidRPr="00D13B67">
        <w:rPr>
          <w:i/>
          <w:iCs/>
        </w:rPr>
        <w:t>Making PDFs accessible to all | Adobe Blog</w:t>
      </w:r>
      <w:r w:rsidRPr="00D13B67">
        <w:t xml:space="preserve">. </w:t>
      </w:r>
      <w:hyperlink r:id="rId248" w:history="1">
        <w:r w:rsidRPr="00D13B67">
          <w:rPr>
            <w:rStyle w:val="Hyperlink"/>
          </w:rPr>
          <w:t>https://blog.adobe.com/en/publish/2023/05/17/making-pdfs-accessible-to-all</w:t>
        </w:r>
      </w:hyperlink>
    </w:p>
    <w:p w14:paraId="4BE7C649" w14:textId="49C46557" w:rsidR="00C835B6" w:rsidRPr="00D13B67" w:rsidRDefault="00C835B6" w:rsidP="00305C0E">
      <w:pPr>
        <w:pStyle w:val="Reference"/>
      </w:pPr>
      <w:r w:rsidRPr="00D13B67">
        <w:t xml:space="preserve">Youngblood, N. E., &amp; Brooks, M. (2018). Website </w:t>
      </w:r>
      <w:r w:rsidR="00E71618" w:rsidRPr="00D13B67">
        <w:t>a</w:t>
      </w:r>
      <w:r w:rsidRPr="00D13B67">
        <w:t xml:space="preserve">ccessibility: U.S. </w:t>
      </w:r>
      <w:r w:rsidR="00E71618" w:rsidRPr="00D13B67">
        <w:t>veterans affairs medical centers</w:t>
      </w:r>
      <w:r w:rsidRPr="00D13B67">
        <w:t xml:space="preserve"> as a </w:t>
      </w:r>
      <w:r w:rsidR="00E71618" w:rsidRPr="00D13B67">
        <w:t>case study</w:t>
      </w:r>
      <w:r w:rsidRPr="00D13B67">
        <w:t xml:space="preserve">. </w:t>
      </w:r>
      <w:r w:rsidRPr="00D13B67">
        <w:rPr>
          <w:i/>
          <w:iCs/>
        </w:rPr>
        <w:t>Business and Professional Communication Quarterly</w:t>
      </w:r>
      <w:r w:rsidRPr="00D13B67">
        <w:t xml:space="preserve">, </w:t>
      </w:r>
      <w:r w:rsidRPr="00D13B67">
        <w:rPr>
          <w:i/>
          <w:iCs/>
        </w:rPr>
        <w:t>81</w:t>
      </w:r>
      <w:r w:rsidRPr="00D13B67">
        <w:t xml:space="preserve">(4), 440–461. ERIC. </w:t>
      </w:r>
      <w:hyperlink r:id="rId249" w:history="1">
        <w:r w:rsidRPr="00D13B67">
          <w:rPr>
            <w:rStyle w:val="Hyperlink"/>
          </w:rPr>
          <w:t>https://doi.org/10.1177/2329490618778329</w:t>
        </w:r>
      </w:hyperlink>
    </w:p>
    <w:p w14:paraId="6EBF7374" w14:textId="113D9C9B" w:rsidR="00173EDC" w:rsidRPr="00D13B67" w:rsidRDefault="00173EDC" w:rsidP="00305C0E">
      <w:pPr>
        <w:pStyle w:val="Reference"/>
      </w:pPr>
      <w:proofErr w:type="spellStart"/>
      <w:r w:rsidRPr="00D13B67">
        <w:t>Żuchowska</w:t>
      </w:r>
      <w:proofErr w:type="spellEnd"/>
      <w:r w:rsidRPr="00D13B67">
        <w:t xml:space="preserve">-Skiba, D. (2024). Digital </w:t>
      </w:r>
      <w:r w:rsidR="00E71618" w:rsidRPr="00D13B67">
        <w:t>a</w:t>
      </w:r>
      <w:r w:rsidRPr="00D13B67">
        <w:t>ccessibility. In Encyclopedia of Diversity, Equity, Inclusion and Spirituality</w:t>
      </w:r>
      <w:r w:rsidR="006C23F6" w:rsidRPr="00D13B67">
        <w:t>,</w:t>
      </w:r>
      <w:r w:rsidRPr="00D13B67">
        <w:t xml:space="preserve"> pp. 1–4. Springer, Cham. </w:t>
      </w:r>
      <w:hyperlink r:id="rId250" w:history="1">
        <w:r w:rsidR="006C23F6" w:rsidRPr="00D13B67">
          <w:rPr>
            <w:rStyle w:val="Hyperlink"/>
          </w:rPr>
          <w:t>https://doi.org/10.1007/978-3-031-32257-0_47-1</w:t>
        </w:r>
      </w:hyperlink>
    </w:p>
    <w:p w14:paraId="51BE87B5" w14:textId="77777777" w:rsidR="006C23F6" w:rsidRPr="00D13B67" w:rsidRDefault="006C23F6" w:rsidP="00305C0E">
      <w:pPr>
        <w:pStyle w:val="Reference"/>
      </w:pPr>
    </w:p>
    <w:p w14:paraId="677A8C11" w14:textId="77777777" w:rsidR="76666FD3" w:rsidRPr="00D13B67" w:rsidRDefault="76666FD3" w:rsidP="00305C0E">
      <w:pPr>
        <w:pStyle w:val="Reference"/>
      </w:pPr>
    </w:p>
    <w:p w14:paraId="1F491989" w14:textId="77777777" w:rsidR="00F139AE" w:rsidRPr="00D13B67" w:rsidRDefault="00F139AE" w:rsidP="0080241A"/>
    <w:p w14:paraId="5265593C" w14:textId="77777777" w:rsidR="00F139AE" w:rsidRPr="00D13B67" w:rsidRDefault="00F139AE" w:rsidP="0080241A"/>
    <w:p w14:paraId="635C6784" w14:textId="77777777" w:rsidR="61D36089" w:rsidRPr="00D13B67" w:rsidRDefault="61D36089">
      <w:r w:rsidRPr="00D13B67">
        <w:br w:type="page"/>
      </w:r>
    </w:p>
    <w:p w14:paraId="6AFC2B5C" w14:textId="77777777" w:rsidR="0794C73F" w:rsidRPr="00D13B67" w:rsidRDefault="0794C73F" w:rsidP="61D36089">
      <w:pPr>
        <w:pStyle w:val="Heading2"/>
      </w:pPr>
      <w:bookmarkStart w:id="61" w:name="_Toc228868012"/>
      <w:r w:rsidRPr="00D13B67">
        <w:lastRenderedPageBreak/>
        <w:t>Appendices</w:t>
      </w:r>
      <w:bookmarkEnd w:id="61"/>
    </w:p>
    <w:p w14:paraId="0293BE20" w14:textId="77777777" w:rsidR="00406AFC" w:rsidRPr="00D13B67" w:rsidRDefault="008A2A34" w:rsidP="001C163F">
      <w:pPr>
        <w:pStyle w:val="Heading3"/>
      </w:pPr>
      <w:bookmarkStart w:id="62" w:name="_Toc228868013"/>
      <w:r w:rsidRPr="00D13B67">
        <w:t xml:space="preserve">Appendix A: </w:t>
      </w:r>
      <w:r w:rsidR="001C163F" w:rsidRPr="00D13B67">
        <w:t>Student Consent Form</w:t>
      </w:r>
      <w:bookmarkEnd w:id="62"/>
    </w:p>
    <w:p w14:paraId="5D68BBF0" w14:textId="24A12A1B" w:rsidR="00362881" w:rsidRPr="00D13B67" w:rsidRDefault="00362881" w:rsidP="00362881">
      <w:r w:rsidRPr="00D13B67">
        <w:t>The consent form was distributed via Microsoft Forms. The following is the text from the form.</w:t>
      </w:r>
    </w:p>
    <w:p w14:paraId="0338267F" w14:textId="77777777" w:rsidR="00362881" w:rsidRPr="00D13B67" w:rsidRDefault="00362881" w:rsidP="00362881"/>
    <w:p w14:paraId="66D4E8CE" w14:textId="414DB6C0" w:rsidR="00362881" w:rsidRPr="00D13B67" w:rsidRDefault="00362881" w:rsidP="00362881">
      <w:r w:rsidRPr="00D13B67">
        <w:t>Lost in Translation: Co-designed Approaches to Implement Digital Accessibility Initiatives </w:t>
      </w:r>
    </w:p>
    <w:p w14:paraId="1491D291" w14:textId="2991A74B" w:rsidR="009D1D92" w:rsidRPr="00D13B67" w:rsidRDefault="00362881" w:rsidP="009D1D92">
      <w:pPr>
        <w:rPr>
          <w:b/>
          <w:bCs/>
        </w:rPr>
      </w:pPr>
      <w:r w:rsidRPr="00D13B67">
        <w:rPr>
          <w:b/>
          <w:bCs/>
        </w:rPr>
        <w:t>Project Details</w:t>
      </w:r>
    </w:p>
    <w:p w14:paraId="1688013D" w14:textId="77777777" w:rsidR="00362881" w:rsidRPr="00D13B67" w:rsidRDefault="00362881" w:rsidP="00362881">
      <w:r w:rsidRPr="00D13B67">
        <w:t xml:space="preserve">Student Investigator: </w:t>
      </w:r>
    </w:p>
    <w:p w14:paraId="7AA42C51" w14:textId="45B6333A" w:rsidR="00362881" w:rsidRPr="00D13B67" w:rsidRDefault="00362881" w:rsidP="00362881">
      <w:r w:rsidRPr="00D13B67">
        <w:t xml:space="preserve">Luke McKnight OCAD University/Langara College </w:t>
      </w:r>
      <w:hyperlink r:id="rId251" w:history="1">
        <w:r w:rsidR="005A0BDA" w:rsidRPr="00D13B67">
          <w:rPr>
            <w:rStyle w:val="Hyperlink"/>
          </w:rPr>
          <w:t>lmcknight@ocadu.ca</w:t>
        </w:r>
      </w:hyperlink>
    </w:p>
    <w:p w14:paraId="0745113F" w14:textId="77777777" w:rsidR="00362881" w:rsidRPr="00D13B67" w:rsidRDefault="00362881" w:rsidP="00362881">
      <w:r w:rsidRPr="00D13B67">
        <w:t xml:space="preserve">Faculty Supervisor: </w:t>
      </w:r>
    </w:p>
    <w:p w14:paraId="49F02287" w14:textId="0F99D3F6" w:rsidR="00362881" w:rsidRPr="00D13B67" w:rsidRDefault="00362881" w:rsidP="00362881">
      <w:r w:rsidRPr="00D13B67">
        <w:t xml:space="preserve">Dr. Michelle Miller, Faculty of Arts &amp; Science, OCAD University </w:t>
      </w:r>
      <w:hyperlink r:id="rId252" w:history="1">
        <w:r w:rsidRPr="00D13B67">
          <w:rPr>
            <w:rStyle w:val="Hyperlink"/>
          </w:rPr>
          <w:t>michellemiller@ocadu.ca</w:t>
        </w:r>
      </w:hyperlink>
    </w:p>
    <w:p w14:paraId="07844497" w14:textId="77777777" w:rsidR="00CF392C" w:rsidRPr="00D13B67" w:rsidRDefault="00CF392C" w:rsidP="00362881"/>
    <w:p w14:paraId="7D8620C1" w14:textId="339573B2" w:rsidR="00362881" w:rsidRPr="00D13B67" w:rsidRDefault="00362881" w:rsidP="00362881">
      <w:pPr>
        <w:rPr>
          <w:b/>
          <w:bCs/>
        </w:rPr>
      </w:pPr>
      <w:r w:rsidRPr="00D13B67">
        <w:rPr>
          <w:b/>
          <w:bCs/>
        </w:rPr>
        <w:t>Purpose</w:t>
      </w:r>
    </w:p>
    <w:p w14:paraId="710429B9" w14:textId="77777777" w:rsidR="00A300D0" w:rsidRPr="00D13B67" w:rsidRDefault="00A300D0" w:rsidP="00A300D0">
      <w:r w:rsidRPr="00D13B67">
        <w:t xml:space="preserve">This study is about making course materials easier to use, especially for students with disabilities. Even though there are rules to make learning more accessible, it doesn’t always happen in a helpful way. This study asks students: What makes digital learning materials easier or harder to use? What do you want instructors to know about what makes things easier for you to learn? </w:t>
      </w:r>
    </w:p>
    <w:p w14:paraId="47C19BF0" w14:textId="77777777" w:rsidR="00A300D0" w:rsidRPr="00D13B67" w:rsidRDefault="00A300D0" w:rsidP="00A300D0">
      <w:r w:rsidRPr="00D13B67">
        <w:t>Students will help design resources that staff can use to improve their courses. Your ideas will help make real changes at the college. We are inviting 10 students to take part.</w:t>
      </w:r>
    </w:p>
    <w:p w14:paraId="69881815" w14:textId="77777777" w:rsidR="00A300D0" w:rsidRPr="00D13B67" w:rsidRDefault="00A300D0" w:rsidP="00A300D0"/>
    <w:p w14:paraId="2510CBED" w14:textId="77777777" w:rsidR="00A300D0" w:rsidRPr="00D13B67" w:rsidRDefault="00A300D0" w:rsidP="00A300D0">
      <w:r w:rsidRPr="00D13B67">
        <w:t xml:space="preserve">You can participate if: </w:t>
      </w:r>
    </w:p>
    <w:p w14:paraId="106C04F6" w14:textId="77777777" w:rsidR="00A300D0" w:rsidRPr="00D13B67" w:rsidRDefault="00A300D0" w:rsidP="00A300D0">
      <w:pPr>
        <w:pStyle w:val="ListParagraph"/>
        <w:numPr>
          <w:ilvl w:val="0"/>
          <w:numId w:val="17"/>
        </w:numPr>
      </w:pPr>
      <w:r w:rsidRPr="00D13B67">
        <w:t>You are currently or have previously attended a post-secondary school</w:t>
      </w:r>
    </w:p>
    <w:p w14:paraId="1B071E3F" w14:textId="77777777" w:rsidR="00A300D0" w:rsidRPr="00D13B67" w:rsidRDefault="00A300D0" w:rsidP="00A300D0">
      <w:pPr>
        <w:pStyle w:val="ListParagraph"/>
        <w:numPr>
          <w:ilvl w:val="0"/>
          <w:numId w:val="17"/>
        </w:numPr>
      </w:pPr>
      <w:r w:rsidRPr="00D13B67">
        <w:t xml:space="preserve">You are 18 years or older </w:t>
      </w:r>
    </w:p>
    <w:p w14:paraId="7B20184C" w14:textId="77777777" w:rsidR="00A300D0" w:rsidRPr="00D13B67" w:rsidRDefault="00A300D0" w:rsidP="00A300D0">
      <w:pPr>
        <w:pStyle w:val="ListParagraph"/>
        <w:numPr>
          <w:ilvl w:val="0"/>
          <w:numId w:val="17"/>
        </w:numPr>
      </w:pPr>
      <w:r w:rsidRPr="00D13B67">
        <w:t xml:space="preserve">You’ve used online learning materials (like Brightspace, PDFs, videos, etc.) </w:t>
      </w:r>
    </w:p>
    <w:p w14:paraId="19510B68" w14:textId="77777777" w:rsidR="00A300D0" w:rsidRPr="00D13B67" w:rsidRDefault="00A300D0" w:rsidP="00A300D0">
      <w:pPr>
        <w:pStyle w:val="ListParagraph"/>
        <w:numPr>
          <w:ilvl w:val="0"/>
          <w:numId w:val="17"/>
        </w:numPr>
      </w:pPr>
      <w:r w:rsidRPr="00D13B67">
        <w:t xml:space="preserve">You want to share your experiences and ideas </w:t>
      </w:r>
    </w:p>
    <w:p w14:paraId="552F488E" w14:textId="77777777" w:rsidR="00A300D0" w:rsidRPr="00D13B67" w:rsidRDefault="00A300D0" w:rsidP="00A300D0">
      <w:r w:rsidRPr="00D13B67">
        <w:t>You do not need to have a documented disability to join.</w:t>
      </w:r>
    </w:p>
    <w:p w14:paraId="11FF5D22" w14:textId="77777777" w:rsidR="00A300D0" w:rsidRPr="00D13B67" w:rsidRDefault="00A300D0" w:rsidP="00A300D0">
      <w:r w:rsidRPr="00D13B67">
        <w:t xml:space="preserve">Participation is voluntary and no identifiable information will be shared with instructors. </w:t>
      </w:r>
    </w:p>
    <w:p w14:paraId="0CA4AA43" w14:textId="77777777" w:rsidR="00A300D0" w:rsidRPr="00D13B67" w:rsidRDefault="00A300D0" w:rsidP="00A300D0">
      <w:r w:rsidRPr="00D13B67">
        <w:t xml:space="preserve">This study is undertaken by Luke McKnight as part of a Major Research Project (MRP) at OCAD University. This project will contribute to the completion of a Master of Design degree. </w:t>
      </w:r>
    </w:p>
    <w:p w14:paraId="242475B4" w14:textId="77777777" w:rsidR="00A300D0" w:rsidRPr="00D13B67" w:rsidRDefault="00A300D0" w:rsidP="00A300D0"/>
    <w:p w14:paraId="25C4380F" w14:textId="77777777" w:rsidR="00A300D0" w:rsidRPr="00D13B67" w:rsidRDefault="00A300D0" w:rsidP="00A300D0">
      <w:r w:rsidRPr="00D13B67">
        <w:t xml:space="preserve">There is no funding or sponsor for this project. </w:t>
      </w:r>
    </w:p>
    <w:p w14:paraId="73A75DBB" w14:textId="77777777" w:rsidR="00A300D0" w:rsidRPr="00D13B67" w:rsidRDefault="00A300D0" w:rsidP="00A300D0"/>
    <w:p w14:paraId="1E435343" w14:textId="76C3B74E" w:rsidR="00362881" w:rsidRPr="00D13B67" w:rsidRDefault="00A300D0" w:rsidP="00A300D0">
      <w:r w:rsidRPr="00D13B67">
        <w:lastRenderedPageBreak/>
        <w:t>There is no plan to sell or make money from the study. The investigator has no conflict of interest, and the project has been approved by the research ethic boards of both OCADU and Langara College.</w:t>
      </w:r>
    </w:p>
    <w:p w14:paraId="2266F212" w14:textId="38095114" w:rsidR="00A300D0" w:rsidRPr="00D13B67" w:rsidRDefault="00A300D0" w:rsidP="00A300D0">
      <w:pPr>
        <w:rPr>
          <w:b/>
          <w:bCs/>
        </w:rPr>
      </w:pPr>
      <w:r w:rsidRPr="00D13B67">
        <w:rPr>
          <w:b/>
          <w:bCs/>
        </w:rPr>
        <w:t>What’s Involved</w:t>
      </w:r>
    </w:p>
    <w:p w14:paraId="0134D945" w14:textId="77777777" w:rsidR="00CF392C" w:rsidRPr="00D13B67" w:rsidRDefault="00CF392C" w:rsidP="00CF392C">
      <w:r w:rsidRPr="00D13B67">
        <w:t xml:space="preserve">As a student participant, you will be asked to join a co-design session, where you </w:t>
      </w:r>
      <w:proofErr w:type="gramStart"/>
      <w:r w:rsidRPr="00D13B67">
        <w:t>will :</w:t>
      </w:r>
      <w:proofErr w:type="gramEnd"/>
      <w:r w:rsidRPr="00D13B67">
        <w:t xml:space="preserve"> </w:t>
      </w:r>
    </w:p>
    <w:p w14:paraId="637FEF6D" w14:textId="77777777" w:rsidR="00CF392C" w:rsidRPr="00D13B67" w:rsidRDefault="00CF392C" w:rsidP="00CF392C">
      <w:pPr>
        <w:pStyle w:val="ListParagraph"/>
        <w:numPr>
          <w:ilvl w:val="0"/>
          <w:numId w:val="18"/>
        </w:numPr>
      </w:pPr>
      <w:r w:rsidRPr="00D13B67">
        <w:t xml:space="preserve">Be interviewed about your experiences using digital course materials (like Brightspace content, PDFs, videos, etc.). </w:t>
      </w:r>
    </w:p>
    <w:p w14:paraId="3E110DC1" w14:textId="77777777" w:rsidR="00CF392C" w:rsidRPr="00D13B67" w:rsidRDefault="00CF392C" w:rsidP="00CF392C">
      <w:pPr>
        <w:pStyle w:val="ListParagraph"/>
        <w:numPr>
          <w:ilvl w:val="0"/>
          <w:numId w:val="18"/>
        </w:numPr>
      </w:pPr>
      <w:r w:rsidRPr="00D13B67">
        <w:t xml:space="preserve">Share what helped or made it harder for you to learn. </w:t>
      </w:r>
    </w:p>
    <w:p w14:paraId="2F496C4C" w14:textId="77777777" w:rsidR="00CF392C" w:rsidRPr="00D13B67" w:rsidRDefault="00CF392C" w:rsidP="00CF392C">
      <w:pPr>
        <w:pStyle w:val="ListParagraph"/>
        <w:numPr>
          <w:ilvl w:val="0"/>
          <w:numId w:val="18"/>
        </w:numPr>
      </w:pPr>
      <w:r w:rsidRPr="00D13B67">
        <w:t xml:space="preserve">Look at examples of inaccessible materials and say whether you’ve seen anything similar. </w:t>
      </w:r>
    </w:p>
    <w:p w14:paraId="2ECC6884" w14:textId="77777777" w:rsidR="00CF392C" w:rsidRPr="00D13B67" w:rsidRDefault="00CF392C" w:rsidP="00CF392C">
      <w:pPr>
        <w:pStyle w:val="ListParagraph"/>
        <w:numPr>
          <w:ilvl w:val="0"/>
          <w:numId w:val="18"/>
        </w:numPr>
      </w:pPr>
      <w:r w:rsidRPr="00D13B67">
        <w:t xml:space="preserve">Help improve or redesign these materials to show what would make them easier to use. </w:t>
      </w:r>
    </w:p>
    <w:p w14:paraId="72D25FAD" w14:textId="77777777" w:rsidR="00CF392C" w:rsidRPr="00D13B67" w:rsidRDefault="00CF392C" w:rsidP="00CF392C">
      <w:pPr>
        <w:pStyle w:val="ListParagraph"/>
        <w:numPr>
          <w:ilvl w:val="0"/>
          <w:numId w:val="18"/>
        </w:numPr>
      </w:pPr>
      <w:r w:rsidRPr="00D13B67">
        <w:t xml:space="preserve">Work with the investigator to share your ideas about what staff should know and do to help students. </w:t>
      </w:r>
    </w:p>
    <w:p w14:paraId="0BAD53E1" w14:textId="77777777" w:rsidR="00CF392C" w:rsidRPr="00D13B67" w:rsidRDefault="00CF392C" w:rsidP="00CF392C">
      <w:r w:rsidRPr="00D13B67">
        <w:t xml:space="preserve">You can choose how you participate: </w:t>
      </w:r>
    </w:p>
    <w:p w14:paraId="1377A519" w14:textId="77777777" w:rsidR="00CF392C" w:rsidRPr="00D13B67" w:rsidRDefault="00CF392C" w:rsidP="00CF392C">
      <w:pPr>
        <w:pStyle w:val="ListParagraph"/>
        <w:numPr>
          <w:ilvl w:val="0"/>
          <w:numId w:val="19"/>
        </w:numPr>
      </w:pPr>
      <w:r w:rsidRPr="00D13B67">
        <w:t xml:space="preserve">In person at Langara College (in a private, accessible space) </w:t>
      </w:r>
    </w:p>
    <w:p w14:paraId="7005790F" w14:textId="77777777" w:rsidR="00CF392C" w:rsidRPr="00D13B67" w:rsidRDefault="00CF392C" w:rsidP="00CF392C">
      <w:pPr>
        <w:pStyle w:val="ListParagraph"/>
        <w:numPr>
          <w:ilvl w:val="0"/>
          <w:numId w:val="19"/>
        </w:numPr>
      </w:pPr>
      <w:r w:rsidRPr="00D13B67">
        <w:t xml:space="preserve">Remotely by Zoom or Microsoft Teams </w:t>
      </w:r>
    </w:p>
    <w:p w14:paraId="1594349C" w14:textId="1D023182" w:rsidR="00A300D0" w:rsidRPr="00D13B67" w:rsidRDefault="00CF392C" w:rsidP="00CF392C">
      <w:r w:rsidRPr="00D13B67">
        <w:t>We will record the session (audio only) and take notes to help us remember what you said. Any materials (like drawings, written notes, or suggestions) you help create will be saved and stored securely. Participation will take about 1 to 1.5 hours total. There are no costs to you. If you're attending in person, you will need to make your own way to Langara College. The only information collected about you will be your name and email (or other contact information). Your participation will not be identified to anyone other than the primary investigator.</w:t>
      </w:r>
    </w:p>
    <w:p w14:paraId="62957CF6" w14:textId="77777777" w:rsidR="00CF392C" w:rsidRPr="00D13B67" w:rsidRDefault="00CF392C" w:rsidP="00CF392C"/>
    <w:p w14:paraId="28B97194" w14:textId="317B6B86" w:rsidR="00CF392C" w:rsidRPr="00D13B67" w:rsidRDefault="00CF392C" w:rsidP="00CF392C">
      <w:pPr>
        <w:rPr>
          <w:b/>
          <w:bCs/>
        </w:rPr>
      </w:pPr>
      <w:r w:rsidRPr="00D13B67">
        <w:rPr>
          <w:b/>
          <w:bCs/>
        </w:rPr>
        <w:t>Potential Benefits</w:t>
      </w:r>
    </w:p>
    <w:p w14:paraId="4CF33FC0" w14:textId="77777777" w:rsidR="00CF392C" w:rsidRPr="00D13B67" w:rsidRDefault="00CF392C" w:rsidP="00CF392C">
      <w:r w:rsidRPr="00D13B67">
        <w:t xml:space="preserve">By participating in this study, you will have the chance to share your experiences and ideas about what makes digital learning materials easier for you to use. You may find it meaningful to know your voice is being used to help instructors better understand and support student needs.  </w:t>
      </w:r>
    </w:p>
    <w:p w14:paraId="2AE197CC" w14:textId="77777777" w:rsidR="00CF392C" w:rsidRPr="00D13B67" w:rsidRDefault="00CF392C" w:rsidP="00CF392C"/>
    <w:p w14:paraId="2B8927EE" w14:textId="77777777" w:rsidR="00CF392C" w:rsidRPr="00D13B67" w:rsidRDefault="00CF392C" w:rsidP="00CF392C">
      <w:r w:rsidRPr="00D13B67">
        <w:t xml:space="preserve">Your contributions will help me build a workshop for faculty and staff members on digital accessibility best practices. </w:t>
      </w:r>
    </w:p>
    <w:p w14:paraId="47CD9F7D" w14:textId="77777777" w:rsidR="00CF392C" w:rsidRPr="00D13B67" w:rsidRDefault="00CF392C" w:rsidP="00CF392C"/>
    <w:p w14:paraId="366C69EF" w14:textId="77777777" w:rsidR="00CF392C" w:rsidRPr="00D13B67" w:rsidRDefault="00CF392C" w:rsidP="00CF392C">
      <w:r w:rsidRPr="00D13B67">
        <w:t xml:space="preserve">You may also feel empowered by helping shape future staff training and learning materials at Langara College. The results of this project will be published in an Open Educational Resource designed to share the findings and help instructors make informed decisions about digital learning material. </w:t>
      </w:r>
    </w:p>
    <w:p w14:paraId="7828C266" w14:textId="77777777" w:rsidR="00CF392C" w:rsidRPr="00D13B67" w:rsidRDefault="00CF392C" w:rsidP="00CF392C"/>
    <w:p w14:paraId="4EB6B552" w14:textId="77777777" w:rsidR="00CF392C" w:rsidRPr="00D13B67" w:rsidRDefault="00CF392C" w:rsidP="00CF392C">
      <w:r w:rsidRPr="00D13B67">
        <w:t xml:space="preserve">This is a way to influence how digital learning can become more inclusive—not just for yourself, but for other students in the future. </w:t>
      </w:r>
    </w:p>
    <w:p w14:paraId="5256E4C7" w14:textId="77777777" w:rsidR="00CF392C" w:rsidRPr="00D13B67" w:rsidRDefault="00CF392C" w:rsidP="00CF392C"/>
    <w:p w14:paraId="24ECC907" w14:textId="6A9385E6" w:rsidR="00CF392C" w:rsidRPr="00D13B67" w:rsidRDefault="00CF392C" w:rsidP="00CF392C">
      <w:r w:rsidRPr="00D13B67">
        <w:t>The researchers cannot guarantee that you will receive any direct benefits from participating in this study.</w:t>
      </w:r>
    </w:p>
    <w:p w14:paraId="7A931033" w14:textId="78480EEC" w:rsidR="004A7EA3" w:rsidRPr="00D13B67" w:rsidRDefault="004A7EA3" w:rsidP="00406AFC"/>
    <w:p w14:paraId="5CB796FC" w14:textId="39EC8D21" w:rsidR="008A2A34" w:rsidRPr="00D13B67" w:rsidRDefault="00CF392C" w:rsidP="008A2A34">
      <w:pPr>
        <w:rPr>
          <w:b/>
        </w:rPr>
      </w:pPr>
      <w:r w:rsidRPr="00D13B67">
        <w:rPr>
          <w:b/>
          <w:bCs/>
          <w:noProof/>
        </w:rPr>
        <w:t>Confidentiality</w:t>
      </w:r>
    </w:p>
    <w:p w14:paraId="62320B4D" w14:textId="77777777" w:rsidR="005A0BDA" w:rsidRPr="00D13B67" w:rsidRDefault="005A0BDA" w:rsidP="005A0BDA">
      <w:r w:rsidRPr="00D13B67">
        <w:t xml:space="preserve">Your identity in this study will be kept confidential. </w:t>
      </w:r>
    </w:p>
    <w:p w14:paraId="34E864B0" w14:textId="77777777" w:rsidR="005A0BDA" w:rsidRPr="00D13B67" w:rsidRDefault="005A0BDA" w:rsidP="005A0BDA">
      <w:pPr>
        <w:pStyle w:val="ListParagraph"/>
        <w:numPr>
          <w:ilvl w:val="0"/>
          <w:numId w:val="20"/>
        </w:numPr>
      </w:pPr>
      <w:r w:rsidRPr="00D13B67">
        <w:t xml:space="preserve">Any records associated with you will be assigned a student number. Your real name will not appear in any research reports or publications unless you explicitly give permission (see checkboxes at the end of this form). </w:t>
      </w:r>
    </w:p>
    <w:p w14:paraId="526B7400" w14:textId="77777777" w:rsidR="005A0BDA" w:rsidRPr="00D13B67" w:rsidRDefault="005A0BDA" w:rsidP="005A0BDA">
      <w:pPr>
        <w:pStyle w:val="ListParagraph"/>
        <w:numPr>
          <w:ilvl w:val="0"/>
          <w:numId w:val="20"/>
        </w:numPr>
      </w:pPr>
      <w:r w:rsidRPr="00D13B67">
        <w:t xml:space="preserve">All audio recordings will be stored securely and will be labeled only by the date of the session and a general descriptor (e.g., “20250601-Recording.mp3”). </w:t>
      </w:r>
    </w:p>
    <w:p w14:paraId="2F09E600" w14:textId="6BD7BDEF" w:rsidR="000E67F8" w:rsidRPr="00D13B67" w:rsidRDefault="005A0BDA" w:rsidP="000E67F8">
      <w:pPr>
        <w:pStyle w:val="ListParagraph"/>
        <w:numPr>
          <w:ilvl w:val="0"/>
          <w:numId w:val="20"/>
        </w:numPr>
      </w:pPr>
      <w:r w:rsidRPr="00D13B67">
        <w:t xml:space="preserve">You may request to review or edit your transcript or withdraw your consent before it is used to create the staff workshops. The deadline to edit responses or withdraw is October 31, 2025. After this date, your contributions will be used to create staff workshops and while nothing you contribute is attached to your name, is will not be possible to remove the information. You can withdraw by emailing </w:t>
      </w:r>
      <w:hyperlink r:id="rId253" w:history="1">
        <w:r w:rsidR="000E67F8" w:rsidRPr="00D13B67">
          <w:rPr>
            <w:rStyle w:val="Hyperlink"/>
          </w:rPr>
          <w:t>lmcknight@langara.ca</w:t>
        </w:r>
      </w:hyperlink>
      <w:r w:rsidR="000E67F8" w:rsidRPr="00D13B67">
        <w:t>.</w:t>
      </w:r>
    </w:p>
    <w:p w14:paraId="65AA756B" w14:textId="6FCD7EBB" w:rsidR="00CF392C" w:rsidRPr="00D13B67" w:rsidRDefault="005A0BDA" w:rsidP="005A0BDA">
      <w:pPr>
        <w:pStyle w:val="ListParagraph"/>
        <w:numPr>
          <w:ilvl w:val="0"/>
          <w:numId w:val="20"/>
        </w:numPr>
      </w:pPr>
      <w:r w:rsidRPr="00D13B67">
        <w:t>Any recordings, transcripts, and co-design materials (e.g., whiteboards, notes, worksheets) will be stored in a secure OCADU OneDrive folder only accessible by the investigator, Luke McKnight.</w:t>
      </w:r>
    </w:p>
    <w:p w14:paraId="2D7A95CC" w14:textId="77777777" w:rsidR="000E67F8" w:rsidRPr="00D13B67" w:rsidRDefault="000E67F8" w:rsidP="000E67F8"/>
    <w:p w14:paraId="536223C7" w14:textId="6D88A88D" w:rsidR="000E67F8" w:rsidRPr="00D13B67" w:rsidRDefault="000E67F8" w:rsidP="000E67F8">
      <w:pPr>
        <w:rPr>
          <w:b/>
          <w:bCs/>
        </w:rPr>
      </w:pPr>
      <w:r w:rsidRPr="00D13B67">
        <w:rPr>
          <w:b/>
          <w:bCs/>
        </w:rPr>
        <w:t>Attributing quotes</w:t>
      </w:r>
    </w:p>
    <w:p w14:paraId="40A0D018" w14:textId="4F4D32F3" w:rsidR="000E67F8" w:rsidRPr="00D13B67" w:rsidRDefault="000E67F8" w:rsidP="000E67F8">
      <w:proofErr w:type="gramStart"/>
      <w:r w:rsidRPr="00D13B67">
        <w:t>( )Yes</w:t>
      </w:r>
      <w:proofErr w:type="gramEnd"/>
      <w:r w:rsidRPr="00D13B67">
        <w:t>, I wish to be attributed for my contribution to this research study. You may use my name alongside statements and/or quotations that you have collected from me.</w:t>
      </w:r>
    </w:p>
    <w:p w14:paraId="5D9654CB" w14:textId="77777777" w:rsidR="000E67F8" w:rsidRPr="00D13B67" w:rsidRDefault="000E67F8" w:rsidP="0080241A">
      <w:proofErr w:type="gramStart"/>
      <w:r w:rsidRPr="00D13B67">
        <w:t>( )</w:t>
      </w:r>
      <w:proofErr w:type="gramEnd"/>
      <w:r w:rsidRPr="00D13B67">
        <w:t xml:space="preserve"> No, I do not wish to be attributed for my contribution to this research study. You may not use my name alongside statements and/or quotations that you have collected from me. </w:t>
      </w:r>
    </w:p>
    <w:p w14:paraId="0C24CEA3" w14:textId="77777777" w:rsidR="000E67F8" w:rsidRPr="00D13B67" w:rsidRDefault="000E67F8" w:rsidP="0080241A"/>
    <w:p w14:paraId="595979F9" w14:textId="77777777" w:rsidR="000E67F8" w:rsidRPr="00D13B67" w:rsidRDefault="000E67F8" w:rsidP="0080241A">
      <w:pPr>
        <w:rPr>
          <w:b/>
          <w:bCs/>
        </w:rPr>
      </w:pPr>
      <w:r w:rsidRPr="00D13B67">
        <w:rPr>
          <w:b/>
          <w:bCs/>
        </w:rPr>
        <w:t>Date of consent</w:t>
      </w:r>
    </w:p>
    <w:p w14:paraId="17EB2E25" w14:textId="77777777" w:rsidR="000E67F8" w:rsidRPr="00D13B67" w:rsidRDefault="000E67F8" w:rsidP="0080241A">
      <w:r w:rsidRPr="00D13B67">
        <w:t>(Date field)</w:t>
      </w:r>
    </w:p>
    <w:p w14:paraId="608AAE13" w14:textId="77777777" w:rsidR="000E67F8" w:rsidRPr="00D13B67" w:rsidRDefault="000E67F8" w:rsidP="0080241A"/>
    <w:p w14:paraId="41FFA904" w14:textId="77777777" w:rsidR="000E67F8" w:rsidRPr="00D13B67" w:rsidRDefault="000E67F8" w:rsidP="0080241A">
      <w:pPr>
        <w:rPr>
          <w:b/>
          <w:bCs/>
        </w:rPr>
      </w:pPr>
      <w:r w:rsidRPr="00D13B67">
        <w:rPr>
          <w:b/>
          <w:bCs/>
        </w:rPr>
        <w:t>Data Storage and Access</w:t>
      </w:r>
    </w:p>
    <w:p w14:paraId="0810FF2C" w14:textId="77777777" w:rsidR="00610EAF" w:rsidRPr="00D13B67" w:rsidRDefault="00610EAF" w:rsidP="00610EAF">
      <w:pPr>
        <w:rPr>
          <w:b/>
          <w:bCs/>
        </w:rPr>
      </w:pPr>
      <w:r w:rsidRPr="00D13B67">
        <w:rPr>
          <w:b/>
          <w:bCs/>
        </w:rPr>
        <w:t xml:space="preserve">Use of recordings: </w:t>
      </w:r>
    </w:p>
    <w:p w14:paraId="0F19EAB8" w14:textId="77777777" w:rsidR="00610EAF" w:rsidRPr="00D13B67" w:rsidRDefault="00610EAF" w:rsidP="00610EAF">
      <w:pPr>
        <w:pStyle w:val="ListParagraph"/>
        <w:numPr>
          <w:ilvl w:val="0"/>
          <w:numId w:val="21"/>
        </w:numPr>
      </w:pPr>
      <w:r w:rsidRPr="00D13B67">
        <w:t xml:space="preserve">Audio recordings will be used only for transcription and analysis. </w:t>
      </w:r>
    </w:p>
    <w:p w14:paraId="704E3D01" w14:textId="77777777" w:rsidR="00610EAF" w:rsidRPr="00D13B67" w:rsidRDefault="00610EAF" w:rsidP="00610EAF">
      <w:pPr>
        <w:pStyle w:val="ListParagraph"/>
        <w:numPr>
          <w:ilvl w:val="0"/>
          <w:numId w:val="21"/>
        </w:numPr>
      </w:pPr>
      <w:r w:rsidRPr="00D13B67">
        <w:t xml:space="preserve">They will not be used for educational or public purposes. </w:t>
      </w:r>
    </w:p>
    <w:p w14:paraId="048736FE" w14:textId="77777777" w:rsidR="00610EAF" w:rsidRPr="00D13B67" w:rsidRDefault="00610EAF" w:rsidP="00610EAF">
      <w:pPr>
        <w:pStyle w:val="ListParagraph"/>
        <w:numPr>
          <w:ilvl w:val="0"/>
          <w:numId w:val="21"/>
        </w:numPr>
      </w:pPr>
      <w:r w:rsidRPr="00D13B67">
        <w:t xml:space="preserve">Video will not be recorded. </w:t>
      </w:r>
    </w:p>
    <w:p w14:paraId="525569D7" w14:textId="77777777" w:rsidR="00610EAF" w:rsidRPr="00D13B67" w:rsidRDefault="00610EAF" w:rsidP="00610EAF">
      <w:pPr>
        <w:pStyle w:val="ListParagraph"/>
        <w:numPr>
          <w:ilvl w:val="0"/>
          <w:numId w:val="21"/>
        </w:numPr>
      </w:pPr>
      <w:r w:rsidRPr="00D13B67">
        <w:lastRenderedPageBreak/>
        <w:t xml:space="preserve">Recordings will be deleted two years after the completion of the study.  </w:t>
      </w:r>
    </w:p>
    <w:p w14:paraId="31CA4675" w14:textId="77777777" w:rsidR="00610EAF" w:rsidRPr="00D13B67" w:rsidRDefault="00610EAF" w:rsidP="00610EAF">
      <w:pPr>
        <w:pStyle w:val="ListParagraph"/>
        <w:numPr>
          <w:ilvl w:val="0"/>
          <w:numId w:val="21"/>
        </w:numPr>
      </w:pPr>
      <w:r w:rsidRPr="00D13B67">
        <w:t xml:space="preserve">Anonymized notes may be kept in the Open Educational Resource (OER) project but will contain no identifying information unless explicit permission is given. </w:t>
      </w:r>
    </w:p>
    <w:p w14:paraId="37FDB8D1" w14:textId="77777777" w:rsidR="00610EAF" w:rsidRPr="00D13B67" w:rsidRDefault="00610EAF" w:rsidP="00610EAF">
      <w:pPr>
        <w:rPr>
          <w:b/>
          <w:bCs/>
        </w:rPr>
      </w:pPr>
      <w:r w:rsidRPr="00D13B67">
        <w:rPr>
          <w:b/>
          <w:bCs/>
        </w:rPr>
        <w:t xml:space="preserve">Data storage and access: </w:t>
      </w:r>
    </w:p>
    <w:p w14:paraId="1BA7FA40" w14:textId="77777777" w:rsidR="00610EAF" w:rsidRPr="00D13B67" w:rsidRDefault="00610EAF" w:rsidP="00610EAF">
      <w:pPr>
        <w:pStyle w:val="ListParagraph"/>
        <w:numPr>
          <w:ilvl w:val="0"/>
          <w:numId w:val="22"/>
        </w:numPr>
      </w:pPr>
      <w:r w:rsidRPr="00D13B67">
        <w:t xml:space="preserve">Data will be stored on the OCADU OneDrive account of the investigator and password protected. </w:t>
      </w:r>
    </w:p>
    <w:p w14:paraId="1638384D" w14:textId="77777777" w:rsidR="00610EAF" w:rsidRPr="00D13B67" w:rsidRDefault="00610EAF" w:rsidP="00610EAF">
      <w:pPr>
        <w:pStyle w:val="ListParagraph"/>
        <w:numPr>
          <w:ilvl w:val="0"/>
          <w:numId w:val="22"/>
        </w:numPr>
      </w:pPr>
      <w:r w:rsidRPr="00D13B67">
        <w:t xml:space="preserve">A separate file with contact details will be stored securely and separately from your responses. </w:t>
      </w:r>
    </w:p>
    <w:p w14:paraId="05D4ADA7" w14:textId="77777777" w:rsidR="00610EAF" w:rsidRPr="00D13B67" w:rsidRDefault="00610EAF" w:rsidP="00610EAF">
      <w:pPr>
        <w:pStyle w:val="ListParagraph"/>
        <w:numPr>
          <w:ilvl w:val="0"/>
          <w:numId w:val="22"/>
        </w:numPr>
      </w:pPr>
      <w:r w:rsidRPr="00D13B67">
        <w:t xml:space="preserve">No data will be released to third parties, unless required by law (e.g., if there is a disclosure of abuse or harm to self or others, it may need to be reported). </w:t>
      </w:r>
    </w:p>
    <w:p w14:paraId="61722664" w14:textId="77777777" w:rsidR="00610EAF" w:rsidRPr="00D13B67" w:rsidRDefault="00610EAF" w:rsidP="00610EAF">
      <w:pPr>
        <w:rPr>
          <w:b/>
          <w:bCs/>
        </w:rPr>
      </w:pPr>
      <w:r w:rsidRPr="00D13B67">
        <w:t>Data will be kept for 2 years after which time all recordings (and research artifacts not included in the final report) will be deleted from the primary investigator’s OCADU OneDrive account. Only the primary investigator, Luke McKnight, will have access to the raw and transcribed data.</w:t>
      </w:r>
      <w:r w:rsidR="000E67F8" w:rsidRPr="00D13B67">
        <w:rPr>
          <w:b/>
          <w:bCs/>
        </w:rPr>
        <w:t xml:space="preserve"> </w:t>
      </w:r>
    </w:p>
    <w:p w14:paraId="3A84C191" w14:textId="77777777" w:rsidR="00610EAF" w:rsidRPr="00D13B67" w:rsidRDefault="00610EAF" w:rsidP="00610EAF">
      <w:pPr>
        <w:rPr>
          <w:b/>
          <w:bCs/>
        </w:rPr>
      </w:pPr>
    </w:p>
    <w:p w14:paraId="1D8F9DB7" w14:textId="77777777" w:rsidR="00610EAF" w:rsidRPr="00D13B67" w:rsidRDefault="00610EAF" w:rsidP="00610EAF">
      <w:pPr>
        <w:rPr>
          <w:b/>
          <w:bCs/>
        </w:rPr>
      </w:pPr>
      <w:r w:rsidRPr="00D13B67">
        <w:rPr>
          <w:b/>
          <w:bCs/>
        </w:rPr>
        <w:t>Audio Recording</w:t>
      </w:r>
    </w:p>
    <w:p w14:paraId="06F7F4A0" w14:textId="2447CBE7" w:rsidR="0090161B" w:rsidRPr="00D13B67" w:rsidRDefault="0090161B" w:rsidP="0090161B">
      <w:proofErr w:type="gramStart"/>
      <w:r w:rsidRPr="00D13B67">
        <w:t>( )</w:t>
      </w:r>
      <w:proofErr w:type="gramEnd"/>
      <w:r w:rsidRPr="00D13B67">
        <w:t xml:space="preserve"> I agree to be audio-recorded for the purposes of this study. I understand how these recordings will be stored and destroyed.</w:t>
      </w:r>
    </w:p>
    <w:p w14:paraId="751C7283" w14:textId="598E4E36" w:rsidR="0090161B" w:rsidRPr="00D13B67" w:rsidRDefault="0090161B" w:rsidP="0090161B">
      <w:proofErr w:type="gramStart"/>
      <w:r w:rsidRPr="00D13B67">
        <w:t>( )</w:t>
      </w:r>
      <w:proofErr w:type="gramEnd"/>
      <w:r w:rsidRPr="00D13B67">
        <w:t xml:space="preserve"> I do not agree to be recorded for the purposes of this study.</w:t>
      </w:r>
    </w:p>
    <w:p w14:paraId="5514B3FB" w14:textId="77777777" w:rsidR="0090161B" w:rsidRPr="00D13B67" w:rsidRDefault="0090161B" w:rsidP="0090161B"/>
    <w:p w14:paraId="1C486C64" w14:textId="77777777" w:rsidR="0090161B" w:rsidRPr="00D13B67" w:rsidRDefault="0090161B" w:rsidP="0090161B">
      <w:pPr>
        <w:rPr>
          <w:b/>
          <w:bCs/>
        </w:rPr>
      </w:pPr>
      <w:r w:rsidRPr="00D13B67">
        <w:rPr>
          <w:b/>
          <w:bCs/>
        </w:rPr>
        <w:t>Date of consent</w:t>
      </w:r>
    </w:p>
    <w:p w14:paraId="2172EDE7" w14:textId="77777777" w:rsidR="0090161B" w:rsidRPr="00D13B67" w:rsidRDefault="0090161B" w:rsidP="0090161B">
      <w:r w:rsidRPr="00D13B67">
        <w:t>(Date field)</w:t>
      </w:r>
    </w:p>
    <w:p w14:paraId="1E040BE1" w14:textId="77777777" w:rsidR="0090161B" w:rsidRPr="00D13B67" w:rsidRDefault="0090161B" w:rsidP="0090161B"/>
    <w:p w14:paraId="391EDC19" w14:textId="248D1206" w:rsidR="0090161B" w:rsidRPr="00D13B67" w:rsidRDefault="0090161B" w:rsidP="0090161B">
      <w:pPr>
        <w:rPr>
          <w:b/>
          <w:bCs/>
        </w:rPr>
      </w:pPr>
      <w:r w:rsidRPr="00D13B67">
        <w:rPr>
          <w:b/>
          <w:bCs/>
        </w:rPr>
        <w:t>Incentive for Participation</w:t>
      </w:r>
    </w:p>
    <w:p w14:paraId="02434329" w14:textId="77777777" w:rsidR="00833BF2" w:rsidRPr="00D13B67" w:rsidRDefault="00833BF2" w:rsidP="00833BF2">
      <w:r w:rsidRPr="00D13B67">
        <w:t xml:space="preserve">You will not be paid to participate in this study. </w:t>
      </w:r>
    </w:p>
    <w:p w14:paraId="697428ED" w14:textId="77777777" w:rsidR="00833BF2" w:rsidRPr="00D13B67" w:rsidRDefault="00833BF2" w:rsidP="00833BF2"/>
    <w:p w14:paraId="3C43E569" w14:textId="2852EC4F" w:rsidR="0090161B" w:rsidRPr="00D13B67" w:rsidRDefault="00833BF2" w:rsidP="00833BF2">
      <w:r w:rsidRPr="00D13B67">
        <w:t>While there is no financial incentive, your contributions will directly help improve how digital learning materials are created and shared at Langara College. Your input may help make future learning more accessible for yourself and others.</w:t>
      </w:r>
    </w:p>
    <w:p w14:paraId="44714840" w14:textId="77777777" w:rsidR="00833BF2" w:rsidRPr="00D13B67" w:rsidRDefault="00833BF2" w:rsidP="00833BF2"/>
    <w:p w14:paraId="5CF765F5" w14:textId="0823D128" w:rsidR="00833BF2" w:rsidRPr="00D13B67" w:rsidRDefault="00833BF2" w:rsidP="00833BF2">
      <w:pPr>
        <w:rPr>
          <w:b/>
          <w:bCs/>
        </w:rPr>
      </w:pPr>
      <w:r w:rsidRPr="00D13B67">
        <w:rPr>
          <w:b/>
          <w:bCs/>
        </w:rPr>
        <w:t>Voluntary Participation</w:t>
      </w:r>
    </w:p>
    <w:p w14:paraId="53CA04D9" w14:textId="77777777" w:rsidR="00833BF2" w:rsidRPr="00D13B67" w:rsidRDefault="00833BF2" w:rsidP="00833BF2">
      <w:r w:rsidRPr="00D13B67">
        <w:t xml:space="preserve">If you choose to stop participating at any time, there will be no penalty, and any information you’ve shared up to that point can still be used (unless you request its removal). </w:t>
      </w:r>
    </w:p>
    <w:p w14:paraId="0828C989" w14:textId="77777777" w:rsidR="00833BF2" w:rsidRPr="00D13B67" w:rsidRDefault="00833BF2" w:rsidP="00833BF2"/>
    <w:p w14:paraId="1FC831F0" w14:textId="77777777" w:rsidR="00833BF2" w:rsidRPr="00D13B67" w:rsidRDefault="00833BF2" w:rsidP="00833BF2">
      <w:r w:rsidRPr="00D13B67">
        <w:t xml:space="preserve">Participation in this study is voluntary. If you wish, you may decline to answer any questions or participate in any component of the study. Your choice to not participate, or withdraw at any point, will not influence your future relations with OCAD University or </w:t>
      </w:r>
      <w:r w:rsidRPr="00D13B67">
        <w:lastRenderedPageBreak/>
        <w:t xml:space="preserve">Langara College or the investigators (Luke McKnight) involved in the research. Not participating, or withdrawing consent, will not exclude you from future support from Langara’s Assistive Technologist. </w:t>
      </w:r>
    </w:p>
    <w:p w14:paraId="5E307B42" w14:textId="77777777" w:rsidR="00833BF2" w:rsidRPr="00D13B67" w:rsidRDefault="00833BF2" w:rsidP="00833BF2"/>
    <w:p w14:paraId="7A45B1B1" w14:textId="04F5803A" w:rsidR="00833BF2" w:rsidRPr="00D13B67" w:rsidRDefault="00833BF2" w:rsidP="00833BF2">
      <w:r w:rsidRPr="00D13B67">
        <w:t>To withdraw your data from the study, please contact Luke McKnight by email at lmcknight@langara.ca or lmcknight@ocadu.ca no later than October 31, 2025. Any data collected will be removed from the research project report and any materials informing the staff workshops. However, after October 31, 2025, any contributed information may be included in staff workshops but will be omitted from the final report.</w:t>
      </w:r>
    </w:p>
    <w:p w14:paraId="69DA0980" w14:textId="77777777" w:rsidR="00833BF2" w:rsidRPr="00D13B67" w:rsidRDefault="00833BF2" w:rsidP="00833BF2"/>
    <w:p w14:paraId="07A25C27" w14:textId="4E3212F0" w:rsidR="00833BF2" w:rsidRPr="00D13B67" w:rsidRDefault="00833BF2" w:rsidP="00833BF2">
      <w:pPr>
        <w:rPr>
          <w:b/>
          <w:bCs/>
        </w:rPr>
      </w:pPr>
      <w:r w:rsidRPr="00D13B67">
        <w:rPr>
          <w:b/>
          <w:bCs/>
        </w:rPr>
        <w:t>Publication of Results</w:t>
      </w:r>
    </w:p>
    <w:p w14:paraId="1B4C4633" w14:textId="77777777" w:rsidR="00833BF2" w:rsidRPr="00D13B67" w:rsidRDefault="00833BF2" w:rsidP="00833BF2">
      <w:r w:rsidRPr="00D13B67">
        <w:t xml:space="preserve">The results of this study may be shared in: </w:t>
      </w:r>
    </w:p>
    <w:p w14:paraId="582DDC08" w14:textId="77777777" w:rsidR="00833BF2" w:rsidRPr="00D13B67" w:rsidRDefault="00833BF2" w:rsidP="00833BF2">
      <w:pPr>
        <w:pStyle w:val="ListParagraph"/>
        <w:numPr>
          <w:ilvl w:val="0"/>
          <w:numId w:val="23"/>
        </w:numPr>
      </w:pPr>
      <w:r w:rsidRPr="00D13B67">
        <w:t xml:space="preserve">A graduate student’s Major Research Project (MRP) at OCAD University and OCAD University’s Open Research Repository </w:t>
      </w:r>
    </w:p>
    <w:p w14:paraId="725F0003" w14:textId="77777777" w:rsidR="00833BF2" w:rsidRPr="00D13B67" w:rsidRDefault="00833BF2" w:rsidP="00833BF2">
      <w:pPr>
        <w:pStyle w:val="ListParagraph"/>
        <w:numPr>
          <w:ilvl w:val="0"/>
          <w:numId w:val="23"/>
        </w:numPr>
      </w:pPr>
      <w:r w:rsidRPr="00D13B67">
        <w:t xml:space="preserve">Academic or professional presentations </w:t>
      </w:r>
    </w:p>
    <w:p w14:paraId="41905C84" w14:textId="77777777" w:rsidR="00833BF2" w:rsidRPr="00D13B67" w:rsidRDefault="00833BF2" w:rsidP="00833BF2">
      <w:pPr>
        <w:pStyle w:val="ListParagraph"/>
        <w:numPr>
          <w:ilvl w:val="0"/>
          <w:numId w:val="23"/>
        </w:numPr>
      </w:pPr>
      <w:r w:rsidRPr="00D13B67">
        <w:t xml:space="preserve">Open Educational Resources (OER) for use by educators </w:t>
      </w:r>
    </w:p>
    <w:p w14:paraId="5A39FD4F" w14:textId="77777777" w:rsidR="00833BF2" w:rsidRPr="00D13B67" w:rsidRDefault="00833BF2" w:rsidP="00833BF2">
      <w:pPr>
        <w:pStyle w:val="ListParagraph"/>
        <w:numPr>
          <w:ilvl w:val="0"/>
          <w:numId w:val="23"/>
        </w:numPr>
      </w:pPr>
      <w:r w:rsidRPr="00D13B67">
        <w:t xml:space="preserve">Reports or publications such as scholarly or professional journals </w:t>
      </w:r>
    </w:p>
    <w:p w14:paraId="7DB792DE" w14:textId="77777777" w:rsidR="00833BF2" w:rsidRPr="00D13B67" w:rsidRDefault="00833BF2" w:rsidP="00833BF2">
      <w:r w:rsidRPr="00D13B67">
        <w:t xml:space="preserve">In any publication, data will be presented in aggregate forms. Quotations from interviews or surveys will not be attributed to you without your permission. </w:t>
      </w:r>
    </w:p>
    <w:p w14:paraId="068A4052" w14:textId="77777777" w:rsidR="00833BF2" w:rsidRPr="00D13B67" w:rsidRDefault="00833BF2" w:rsidP="00833BF2"/>
    <w:p w14:paraId="00D22C09" w14:textId="77777777" w:rsidR="00833BF2" w:rsidRPr="00D13B67" w:rsidRDefault="00833BF2" w:rsidP="00833BF2">
      <w:r w:rsidRPr="00D13B67">
        <w:t xml:space="preserve">Feedback and findings from this study will be made available to participants. </w:t>
      </w:r>
    </w:p>
    <w:p w14:paraId="19F0091F" w14:textId="77777777" w:rsidR="00833BF2" w:rsidRPr="00D13B67" w:rsidRDefault="00833BF2" w:rsidP="00833BF2"/>
    <w:p w14:paraId="289AB86A" w14:textId="77777777" w:rsidR="00833BF2" w:rsidRPr="00D13B67" w:rsidRDefault="00833BF2" w:rsidP="00833BF2">
      <w:r w:rsidRPr="00D13B67">
        <w:t xml:space="preserve">You can request a summary of results by contacting the investigator (Luke McKnight) by email at lmcknight@langara.ca or lmcknight@ocadu.ca.  </w:t>
      </w:r>
    </w:p>
    <w:p w14:paraId="52A18ACB" w14:textId="77777777" w:rsidR="00833BF2" w:rsidRPr="00D13B67" w:rsidRDefault="00833BF2" w:rsidP="00833BF2"/>
    <w:p w14:paraId="1A566C7F" w14:textId="77777777" w:rsidR="00833BF2" w:rsidRPr="00D13B67" w:rsidRDefault="00833BF2" w:rsidP="00833BF2">
      <w:r w:rsidRPr="00D13B67">
        <w:t xml:space="preserve">Anticipated availability: April 2026 </w:t>
      </w:r>
    </w:p>
    <w:p w14:paraId="008CFEBC" w14:textId="77777777" w:rsidR="00833BF2" w:rsidRPr="00D13B67" w:rsidRDefault="00833BF2" w:rsidP="00833BF2"/>
    <w:p w14:paraId="04F41285" w14:textId="3C15276C" w:rsidR="00833BF2" w:rsidRPr="00D13B67" w:rsidRDefault="00833BF2" w:rsidP="00833BF2">
      <w:r w:rsidRPr="00D13B67">
        <w:t xml:space="preserve">The instructional resources created as part of the project will be published as an Open Educational Resource (OER) on: </w:t>
      </w:r>
      <w:proofErr w:type="spellStart"/>
      <w:r w:rsidRPr="00D13B67">
        <w:t>BCcampus</w:t>
      </w:r>
      <w:proofErr w:type="spellEnd"/>
      <w:r w:rsidRPr="00D13B67">
        <w:t xml:space="preserve"> Pressbooks or Opened.ca in April 2026. Participants will be informed of the OER’s publication if they wish.</w:t>
      </w:r>
    </w:p>
    <w:p w14:paraId="4DBACAB1" w14:textId="77777777" w:rsidR="006A0709" w:rsidRPr="00D13B67" w:rsidRDefault="006A0709" w:rsidP="00833BF2"/>
    <w:p w14:paraId="747C1B7B" w14:textId="31150AA2" w:rsidR="006A0709" w:rsidRPr="00D13B67" w:rsidRDefault="006A0709" w:rsidP="00833BF2">
      <w:r w:rsidRPr="00D13B67">
        <w:t>If you wish to be informed when the results of this study are published, enter your email:</w:t>
      </w:r>
    </w:p>
    <w:p w14:paraId="031408ED" w14:textId="77777777" w:rsidR="006A0709" w:rsidRPr="00D13B67" w:rsidRDefault="006A0709" w:rsidP="00833BF2"/>
    <w:p w14:paraId="4D653F41" w14:textId="0247E691" w:rsidR="006A0709" w:rsidRPr="00D13B67" w:rsidRDefault="006A0709" w:rsidP="00833BF2">
      <w:pPr>
        <w:rPr>
          <w:b/>
          <w:bCs/>
        </w:rPr>
      </w:pPr>
      <w:r w:rsidRPr="00D13B67">
        <w:rPr>
          <w:b/>
          <w:bCs/>
        </w:rPr>
        <w:t>Contact Information and Ethics Clearance</w:t>
      </w:r>
    </w:p>
    <w:p w14:paraId="2C3C2FF3" w14:textId="77777777" w:rsidR="006A0709" w:rsidRPr="00D13B67" w:rsidRDefault="006A0709" w:rsidP="006A0709">
      <w:r w:rsidRPr="00D13B67">
        <w:t xml:space="preserve">If you have any questions about this study or require further information, please ask. If you have questions later about the research, you may contact the Principal Investigator Luke McKnight or the Faculty Supervisor (Dr. Michelle Miller) using the contact information </w:t>
      </w:r>
      <w:r w:rsidRPr="00D13B67">
        <w:lastRenderedPageBreak/>
        <w:t xml:space="preserve">provided above. This study has been reviewed and received ethics clearance through the Research Ethics Board at OCAD University, approval number 2025-42.  </w:t>
      </w:r>
    </w:p>
    <w:p w14:paraId="1C08473C" w14:textId="77777777" w:rsidR="006A0709" w:rsidRPr="00D13B67" w:rsidRDefault="006A0709" w:rsidP="006A0709"/>
    <w:p w14:paraId="0E99F9C8" w14:textId="2F4E76C8" w:rsidR="006A0709" w:rsidRPr="00D13B67" w:rsidRDefault="006A0709" w:rsidP="006A0709">
      <w:r w:rsidRPr="00D13B67">
        <w:t xml:space="preserve">If you have questions regarding your rights as a participant in this study please contact: Research Ethics Board c/o Office of the Vice President, Research and Innovation OCAD University 100 McCaul Street Toronto, M5T1W1 416 977 6000 x4368 </w:t>
      </w:r>
      <w:hyperlink r:id="rId254" w:history="1">
        <w:r w:rsidRPr="00D13B67">
          <w:rPr>
            <w:rStyle w:val="Hyperlink"/>
          </w:rPr>
          <w:t>research@ocadu.ca</w:t>
        </w:r>
      </w:hyperlink>
    </w:p>
    <w:p w14:paraId="6D86612B" w14:textId="77777777" w:rsidR="006A0709" w:rsidRPr="00D13B67" w:rsidRDefault="006A0709" w:rsidP="006A0709"/>
    <w:p w14:paraId="588845FD" w14:textId="02119108" w:rsidR="006A0709" w:rsidRPr="00D13B67" w:rsidRDefault="006A0709" w:rsidP="006A0709">
      <w:pPr>
        <w:rPr>
          <w:b/>
          <w:bCs/>
        </w:rPr>
      </w:pPr>
      <w:r w:rsidRPr="00D13B67">
        <w:rPr>
          <w:b/>
          <w:bCs/>
        </w:rPr>
        <w:t>Agreement</w:t>
      </w:r>
    </w:p>
    <w:p w14:paraId="6DD314E9" w14:textId="77777777" w:rsidR="006A0709" w:rsidRPr="00D13B67" w:rsidRDefault="006A0709" w:rsidP="00610EAF">
      <w:r w:rsidRPr="00D13B67">
        <w:t xml:space="preserve">I agree to participate in this study described above. I have made this decision based on the information I have read in the Information-Consent Letter.  I have had the opportunity to receive any additional details I wanted about the study and understand that I may ask questions in the future.  I understand that I may withdraw this consent at any time. </w:t>
      </w:r>
    </w:p>
    <w:p w14:paraId="145A31CF" w14:textId="77777777" w:rsidR="006A0709" w:rsidRPr="00D13B67" w:rsidRDefault="006A0709" w:rsidP="00610EAF"/>
    <w:p w14:paraId="7820DE92" w14:textId="613CC051" w:rsidR="006A0709" w:rsidRPr="00D13B67" w:rsidRDefault="006A0709" w:rsidP="00610EAF">
      <w:r w:rsidRPr="00D13B67">
        <w:t>Name:</w:t>
      </w:r>
    </w:p>
    <w:p w14:paraId="0A08E11C" w14:textId="737E2914" w:rsidR="006A0709" w:rsidRPr="00D13B67" w:rsidRDefault="006A0709" w:rsidP="00610EAF">
      <w:r w:rsidRPr="00D13B67">
        <w:t xml:space="preserve">Please check this box to confirm you have read and agree to the above </w:t>
      </w:r>
      <w:proofErr w:type="gramStart"/>
      <w:r w:rsidRPr="00D13B67">
        <w:t>( )</w:t>
      </w:r>
      <w:proofErr w:type="gramEnd"/>
      <w:r w:rsidRPr="00D13B67">
        <w:t xml:space="preserve"> I have read and agree to the above</w:t>
      </w:r>
    </w:p>
    <w:p w14:paraId="43BE4DD8" w14:textId="77777777" w:rsidR="006A0709" w:rsidRPr="00D13B67" w:rsidRDefault="006A0709" w:rsidP="006A0709">
      <w:pPr>
        <w:rPr>
          <w:b/>
          <w:bCs/>
        </w:rPr>
      </w:pPr>
      <w:r w:rsidRPr="00D13B67">
        <w:rPr>
          <w:b/>
          <w:bCs/>
        </w:rPr>
        <w:t>Date of consent</w:t>
      </w:r>
    </w:p>
    <w:p w14:paraId="5868B395" w14:textId="1F629DAB" w:rsidR="006A0709" w:rsidRPr="00D13B67" w:rsidRDefault="006A0709" w:rsidP="00610EAF">
      <w:r w:rsidRPr="00D13B67">
        <w:t>(Date field)</w:t>
      </w:r>
    </w:p>
    <w:p w14:paraId="671864A7" w14:textId="55D62BC6" w:rsidR="61D36089" w:rsidRPr="00D13B67" w:rsidRDefault="61D36089" w:rsidP="006A0709">
      <w:pPr>
        <w:pStyle w:val="Body"/>
      </w:pPr>
      <w:r w:rsidRPr="00D13B67">
        <w:br w:type="page"/>
      </w:r>
    </w:p>
    <w:p w14:paraId="04D81081" w14:textId="0C168585" w:rsidR="00406AFC" w:rsidRPr="00D13B67" w:rsidRDefault="005001DF" w:rsidP="00352D48">
      <w:pPr>
        <w:pStyle w:val="Heading3"/>
      </w:pPr>
      <w:bookmarkStart w:id="63" w:name="_Appendix_B:_Employee"/>
      <w:bookmarkStart w:id="64" w:name="_Toc228868014"/>
      <w:bookmarkEnd w:id="63"/>
      <w:r w:rsidRPr="00D13B67">
        <w:lastRenderedPageBreak/>
        <w:t>Appendix B: Employee Consent Form</w:t>
      </w:r>
      <w:r w:rsidR="00A07AED" w:rsidRPr="00D13B67">
        <w:t xml:space="preserve"> and Survey Questions</w:t>
      </w:r>
      <w:bookmarkEnd w:id="64"/>
    </w:p>
    <w:p w14:paraId="404D4D82" w14:textId="0BE31DB9" w:rsidR="00F043B4" w:rsidRPr="00D13B67" w:rsidRDefault="00F043B4" w:rsidP="00F043B4">
      <w:r w:rsidRPr="00D13B67">
        <w:t>Lost in Translation: Co-designed Approaches to Implement Digital Accessibility Initiatives </w:t>
      </w:r>
    </w:p>
    <w:p w14:paraId="1EE67D3F" w14:textId="77777777" w:rsidR="00F043B4" w:rsidRPr="00D13B67" w:rsidRDefault="00F043B4" w:rsidP="00F043B4"/>
    <w:p w14:paraId="6EC71789" w14:textId="2775F954" w:rsidR="00F043B4" w:rsidRPr="00D13B67" w:rsidRDefault="00F043B4" w:rsidP="00F043B4">
      <w:pPr>
        <w:rPr>
          <w:b/>
          <w:bCs/>
        </w:rPr>
      </w:pPr>
      <w:r w:rsidRPr="00D13B67">
        <w:rPr>
          <w:b/>
          <w:bCs/>
        </w:rPr>
        <w:t>Project Details</w:t>
      </w:r>
    </w:p>
    <w:p w14:paraId="587BB7BF" w14:textId="77777777" w:rsidR="00F043B4" w:rsidRPr="00D13B67" w:rsidRDefault="00F043B4" w:rsidP="00F043B4">
      <w:r w:rsidRPr="00D13B67">
        <w:t xml:space="preserve">Student Investigator: </w:t>
      </w:r>
    </w:p>
    <w:p w14:paraId="1D4506BC" w14:textId="77777777" w:rsidR="00F043B4" w:rsidRPr="00D13B67" w:rsidRDefault="00F043B4" w:rsidP="00F043B4">
      <w:r w:rsidRPr="00D13B67">
        <w:t>Luke McKnight OCAD University/Langara College lmcknight@ocadu.ca</w:t>
      </w:r>
    </w:p>
    <w:p w14:paraId="7C2026CC" w14:textId="77777777" w:rsidR="00F043B4" w:rsidRPr="00D13B67" w:rsidRDefault="00F043B4" w:rsidP="00F043B4">
      <w:r w:rsidRPr="00D13B67">
        <w:t xml:space="preserve">Faculty Supervisor: </w:t>
      </w:r>
    </w:p>
    <w:p w14:paraId="787D4B67" w14:textId="77777777" w:rsidR="00F043B4" w:rsidRPr="00D13B67" w:rsidRDefault="00F043B4" w:rsidP="00F043B4">
      <w:r w:rsidRPr="00D13B67">
        <w:t>Dr. Michelle Miller, Faculty of Arts &amp; Science, OCAD University michellemiller@ocadu.ca</w:t>
      </w:r>
    </w:p>
    <w:p w14:paraId="79C2B2D0" w14:textId="77777777" w:rsidR="00F043B4" w:rsidRPr="00D13B67" w:rsidRDefault="00F043B4" w:rsidP="00F043B4"/>
    <w:p w14:paraId="3D52D444" w14:textId="77777777" w:rsidR="00F043B4" w:rsidRPr="00D13B67" w:rsidRDefault="00F043B4" w:rsidP="00F043B4">
      <w:pPr>
        <w:rPr>
          <w:b/>
          <w:bCs/>
        </w:rPr>
      </w:pPr>
      <w:r w:rsidRPr="00D13B67">
        <w:rPr>
          <w:b/>
          <w:bCs/>
        </w:rPr>
        <w:t>Invitation and Project Description</w:t>
      </w:r>
    </w:p>
    <w:p w14:paraId="2DA6148A" w14:textId="77777777" w:rsidR="00F043B4" w:rsidRPr="00D13B67" w:rsidRDefault="00F043B4" w:rsidP="00F043B4"/>
    <w:p w14:paraId="576EB1D2" w14:textId="77777777" w:rsidR="00F043B4" w:rsidRPr="00D13B67" w:rsidRDefault="00F043B4" w:rsidP="00F043B4">
      <w:r w:rsidRPr="00D13B67">
        <w:t xml:space="preserve">You are invited to participate in an online survey that is part of a research study at OCAD University. The purpose of Lost in Translation: Co-designed Approaches to Implement Digital Accessibility Initiatives is to analyze student needs and preferences regarding digital learning materials and formats and make those requirements tangible and feasible for instructors. </w:t>
      </w:r>
    </w:p>
    <w:p w14:paraId="4CA8AE43" w14:textId="77777777" w:rsidR="00F043B4" w:rsidRPr="00D13B67" w:rsidRDefault="00F043B4" w:rsidP="00F043B4">
      <w:pPr>
        <w:rPr>
          <w:b/>
          <w:bCs/>
        </w:rPr>
      </w:pPr>
      <w:r w:rsidRPr="00D13B67">
        <w:t xml:space="preserve">This study is undertaken by </w:t>
      </w:r>
      <w:r w:rsidRPr="00D13B67">
        <w:rPr>
          <w:b/>
          <w:bCs/>
        </w:rPr>
        <w:t>Luke McKnight as part of a Major Research Project (MRP) at OCAD University. This project will contribute to the completion of a Master of Design degree.</w:t>
      </w:r>
    </w:p>
    <w:p w14:paraId="7E322C88" w14:textId="77777777" w:rsidR="00F043B4" w:rsidRPr="00D13B67" w:rsidRDefault="00F043B4" w:rsidP="00F043B4">
      <w:pPr>
        <w:rPr>
          <w:b/>
          <w:bCs/>
        </w:rPr>
      </w:pPr>
    </w:p>
    <w:p w14:paraId="13A77A2B" w14:textId="65E368B2" w:rsidR="00F043B4" w:rsidRPr="00D13B67" w:rsidRDefault="00F043B4" w:rsidP="00F043B4">
      <w:pPr>
        <w:rPr>
          <w:b/>
          <w:bCs/>
        </w:rPr>
      </w:pPr>
      <w:r w:rsidRPr="00D13B67">
        <w:rPr>
          <w:b/>
          <w:bCs/>
        </w:rPr>
        <w:t xml:space="preserve">If you are a Langara </w:t>
      </w:r>
      <w:proofErr w:type="gramStart"/>
      <w:r w:rsidRPr="00D13B67">
        <w:rPr>
          <w:b/>
          <w:bCs/>
        </w:rPr>
        <w:t>employee</w:t>
      </w:r>
      <w:proofErr w:type="gramEnd"/>
      <w:r w:rsidRPr="00D13B67">
        <w:rPr>
          <w:b/>
          <w:bCs/>
        </w:rPr>
        <w:t xml:space="preserve"> you are welcome to participate in this survey.</w:t>
      </w:r>
    </w:p>
    <w:p w14:paraId="14842311" w14:textId="77777777" w:rsidR="00F043B4" w:rsidRPr="00D13B67" w:rsidRDefault="00F043B4" w:rsidP="00F043B4">
      <w:pPr>
        <w:rPr>
          <w:b/>
          <w:bCs/>
        </w:rPr>
      </w:pPr>
    </w:p>
    <w:p w14:paraId="348B3A62" w14:textId="01C66F2C" w:rsidR="005B66E5" w:rsidRPr="00D13B67" w:rsidRDefault="00F043B4" w:rsidP="005B66E5">
      <w:pPr>
        <w:rPr>
          <w:b/>
          <w:bCs/>
        </w:rPr>
      </w:pPr>
      <w:r w:rsidRPr="00D13B67">
        <w:rPr>
          <w:b/>
          <w:bCs/>
        </w:rPr>
        <w:t>What’s Involved</w:t>
      </w:r>
    </w:p>
    <w:p w14:paraId="04D4CB7A" w14:textId="77777777" w:rsidR="005B66E5" w:rsidRPr="00D13B67" w:rsidRDefault="005B66E5" w:rsidP="005B66E5">
      <w:pPr>
        <w:rPr>
          <w:b/>
          <w:bCs/>
        </w:rPr>
      </w:pPr>
    </w:p>
    <w:p w14:paraId="5C4B9512" w14:textId="77777777" w:rsidR="005B66E5" w:rsidRPr="00D13B67" w:rsidRDefault="005B66E5" w:rsidP="005B66E5">
      <w:r w:rsidRPr="00D13B67">
        <w:t>This survey consists of 7 questions and is expected to take approximately 10 minutes to complete.</w:t>
      </w:r>
    </w:p>
    <w:p w14:paraId="5AA2BAB7" w14:textId="77777777" w:rsidR="005B66E5" w:rsidRPr="00D13B67" w:rsidRDefault="005B66E5" w:rsidP="005B66E5">
      <w:r w:rsidRPr="00D13B67">
        <w:t xml:space="preserve"> </w:t>
      </w:r>
    </w:p>
    <w:p w14:paraId="2FE1DCE4" w14:textId="77777777" w:rsidR="005B66E5" w:rsidRPr="00D13B67" w:rsidRDefault="005B66E5" w:rsidP="005B66E5">
      <w:r w:rsidRPr="00D13B67">
        <w:t xml:space="preserve">Your participation in this on-line survey is voluntary. You may choose to answer as many questions as you </w:t>
      </w:r>
      <w:proofErr w:type="gramStart"/>
      <w:r w:rsidRPr="00D13B67">
        <w:t>wish, or</w:t>
      </w:r>
      <w:proofErr w:type="gramEnd"/>
      <w:r w:rsidRPr="00D13B67">
        <w:t xml:space="preserve"> stop at any time. By answering the questions in the survey, you are agreeing to participate.  </w:t>
      </w:r>
    </w:p>
    <w:p w14:paraId="06E3EB93" w14:textId="77777777" w:rsidR="005B66E5" w:rsidRPr="00D13B67" w:rsidRDefault="005B66E5" w:rsidP="005B66E5">
      <w:r w:rsidRPr="00D13B67">
        <w:t xml:space="preserve"> </w:t>
      </w:r>
    </w:p>
    <w:p w14:paraId="70D12A96" w14:textId="77777777" w:rsidR="005B66E5" w:rsidRPr="00D13B67" w:rsidRDefault="005B66E5" w:rsidP="005B66E5">
      <w:r w:rsidRPr="00D13B67">
        <w:t>There will be no negative consequences if you choose not to complete the survey.  The survey asks for no direct identifiers and all the data collected will be kept confidential. The information that you provide will be summarized, in an anonymous format. It is possible, though unlikely, that you may be identifiable through the information that you provide in your responses.</w:t>
      </w:r>
    </w:p>
    <w:p w14:paraId="235BA193" w14:textId="77777777" w:rsidR="005B66E5" w:rsidRPr="00D13B67" w:rsidRDefault="005B66E5" w:rsidP="005B66E5">
      <w:r w:rsidRPr="00D13B67">
        <w:lastRenderedPageBreak/>
        <w:t xml:space="preserve"> </w:t>
      </w:r>
    </w:p>
    <w:p w14:paraId="0D52393B" w14:textId="77777777" w:rsidR="005B66E5" w:rsidRPr="00D13B67" w:rsidRDefault="005B66E5" w:rsidP="005B66E5">
      <w:r w:rsidRPr="00D13B67">
        <w:t xml:space="preserve">Once you submit your survey, it will not be possible to remove or amend your responses due to the anonymous nature of the data.  </w:t>
      </w:r>
    </w:p>
    <w:p w14:paraId="266A4216" w14:textId="77777777" w:rsidR="005B66E5" w:rsidRPr="00D13B67" w:rsidRDefault="005B66E5" w:rsidP="005B66E5">
      <w:r w:rsidRPr="00D13B67">
        <w:t xml:space="preserve"> </w:t>
      </w:r>
    </w:p>
    <w:p w14:paraId="5575FB91" w14:textId="77777777" w:rsidR="005B66E5" w:rsidRPr="00D13B67" w:rsidRDefault="005B66E5" w:rsidP="005B66E5">
      <w:r w:rsidRPr="00D13B67">
        <w:t xml:space="preserve">Raw data collected in this survey will be kept on a secure Microsoft OneDrive hosted in Canada. The data is only available to the Student Investigator and Principal Supervisor until April 30, 2028, after which time it will be destroyed. </w:t>
      </w:r>
    </w:p>
    <w:p w14:paraId="2A40BEA5" w14:textId="77777777" w:rsidR="005B66E5" w:rsidRPr="00D13B67" w:rsidRDefault="005B66E5" w:rsidP="005B66E5"/>
    <w:p w14:paraId="10DE9909" w14:textId="77777777" w:rsidR="005B66E5" w:rsidRPr="00D13B67" w:rsidRDefault="005B66E5" w:rsidP="005B66E5">
      <w:pPr>
        <w:rPr>
          <w:b/>
          <w:bCs/>
        </w:rPr>
      </w:pPr>
      <w:r w:rsidRPr="00D13B67">
        <w:rPr>
          <w:b/>
          <w:bCs/>
        </w:rPr>
        <w:t>Survey Results</w:t>
      </w:r>
    </w:p>
    <w:p w14:paraId="68C4E42A" w14:textId="77777777" w:rsidR="005B66E5" w:rsidRPr="00D13B67" w:rsidRDefault="005B66E5" w:rsidP="005B66E5">
      <w:pPr>
        <w:rPr>
          <w:b/>
          <w:bCs/>
        </w:rPr>
      </w:pPr>
    </w:p>
    <w:p w14:paraId="46A1A09F" w14:textId="77777777" w:rsidR="005B66E5" w:rsidRPr="00D13B67" w:rsidRDefault="005B66E5" w:rsidP="005B66E5">
      <w:r w:rsidRPr="00D13B67">
        <w:t>Results of this study may be published in the OCADU Open Research Repository (openresearch.ocadu.ca/). In any publication, the data will be presented in aggregate forms. Study results will be available by April 30, 2026.</w:t>
      </w:r>
    </w:p>
    <w:p w14:paraId="419BD000" w14:textId="77777777" w:rsidR="005B66E5" w:rsidRPr="00D13B67" w:rsidRDefault="005B66E5" w:rsidP="005B66E5"/>
    <w:p w14:paraId="11875A7B" w14:textId="77777777" w:rsidR="005B66E5" w:rsidRPr="00D13B67" w:rsidRDefault="005B66E5" w:rsidP="005B66E5">
      <w:r w:rsidRPr="00D13B67">
        <w:t>If you have any further questions concerning this research, please do not hesitate to contact the researchers listed above.</w:t>
      </w:r>
    </w:p>
    <w:p w14:paraId="212BB336" w14:textId="10A6E94B" w:rsidR="00F043B4" w:rsidRPr="00D13B67" w:rsidRDefault="005B66E5" w:rsidP="005B66E5">
      <w:r w:rsidRPr="00D13B67">
        <w:t>This survey has been approved by the OCAD University Research Ethics Board, approval number 2025-42 and the Langara College Research Ethics Board.</w:t>
      </w:r>
    </w:p>
    <w:p w14:paraId="02850EDD" w14:textId="6471FEA4" w:rsidR="00406AFC" w:rsidRPr="00D13B67" w:rsidRDefault="00406AFC" w:rsidP="00406AFC"/>
    <w:p w14:paraId="2BA4F4B0" w14:textId="4AF6FBB1" w:rsidR="00D079DE" w:rsidRPr="00D13B67" w:rsidRDefault="00D079DE" w:rsidP="00FE29F2">
      <w:pPr>
        <w:pStyle w:val="Caption"/>
      </w:pPr>
      <w:bookmarkStart w:id="65" w:name="_Toc228868020"/>
      <w:r w:rsidRPr="00D13B67">
        <w:lastRenderedPageBreak/>
        <w:t xml:space="preserve">Figure </w:t>
      </w:r>
      <w:r w:rsidR="00991109">
        <w:fldChar w:fldCharType="begin"/>
      </w:r>
      <w:r w:rsidR="00991109">
        <w:instrText xml:space="preserve"> SEQ Figure \* ARABIC </w:instrText>
      </w:r>
      <w:r w:rsidR="00991109">
        <w:fldChar w:fldCharType="separate"/>
      </w:r>
      <w:r w:rsidR="00805E71">
        <w:rPr>
          <w:noProof/>
        </w:rPr>
        <w:t>4</w:t>
      </w:r>
      <w:r w:rsidR="00991109">
        <w:fldChar w:fldCharType="end"/>
      </w:r>
      <w:r w:rsidRPr="00D13B67">
        <w:t>: Screenshot of Employee Survey Questions</w:t>
      </w:r>
      <w:bookmarkEnd w:id="65"/>
    </w:p>
    <w:p w14:paraId="5B37E1F0" w14:textId="77777777" w:rsidR="005B66E5" w:rsidRPr="00D13B67" w:rsidRDefault="00352D48" w:rsidP="005B66E5">
      <w:pPr>
        <w:keepNext/>
      </w:pPr>
      <w:r w:rsidRPr="00D13B67">
        <w:rPr>
          <w:noProof/>
        </w:rPr>
        <w:drawing>
          <wp:inline distT="0" distB="0" distL="0" distR="0" wp14:anchorId="6E46F201" wp14:editId="79465138">
            <wp:extent cx="5943600" cy="7694295"/>
            <wp:effectExtent l="0" t="0" r="0" b="1905"/>
            <wp:docPr id="2018344403" name="Picture 19" descr="P10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44403" name="Picture 19" descr="P1008#yIS1"/>
                    <pic:cNvPicPr/>
                  </pic:nvPicPr>
                  <pic:blipFill>
                    <a:blip r:embed="rId255">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47190168" w14:textId="77777777" w:rsidR="004F645E" w:rsidRPr="00D13B67" w:rsidRDefault="004F645E">
      <w:pPr>
        <w:spacing w:after="160" w:line="279" w:lineRule="auto"/>
        <w:rPr>
          <w:i/>
          <w:iCs/>
          <w:color w:val="0E2841" w:themeColor="text2"/>
          <w:sz w:val="18"/>
          <w:szCs w:val="18"/>
        </w:rPr>
      </w:pPr>
      <w:r w:rsidRPr="00D13B67">
        <w:br w:type="page"/>
      </w:r>
    </w:p>
    <w:p w14:paraId="4701A004" w14:textId="2C6580FE" w:rsidR="00D079DE" w:rsidRPr="00D13B67" w:rsidRDefault="00D079DE" w:rsidP="00FE29F2">
      <w:pPr>
        <w:pStyle w:val="Caption"/>
      </w:pPr>
      <w:bookmarkStart w:id="66" w:name="_Toc228868021"/>
      <w:r w:rsidRPr="00D13B67">
        <w:lastRenderedPageBreak/>
        <w:t xml:space="preserve">Figure </w:t>
      </w:r>
      <w:r w:rsidR="00991109">
        <w:fldChar w:fldCharType="begin"/>
      </w:r>
      <w:r w:rsidR="00991109">
        <w:instrText xml:space="preserve"> SEQ Figure \* ARABIC </w:instrText>
      </w:r>
      <w:r w:rsidR="00991109">
        <w:fldChar w:fldCharType="separate"/>
      </w:r>
      <w:r w:rsidR="00805E71">
        <w:rPr>
          <w:noProof/>
        </w:rPr>
        <w:t>5</w:t>
      </w:r>
      <w:r w:rsidR="00991109">
        <w:fldChar w:fldCharType="end"/>
      </w:r>
      <w:r w:rsidRPr="00D13B67">
        <w:t>: Screenshot of Employee Survey Questions (2)</w:t>
      </w:r>
      <w:bookmarkEnd w:id="66"/>
    </w:p>
    <w:p w14:paraId="759B9F31" w14:textId="7BB1CDD1" w:rsidR="002C7920" w:rsidRPr="00D13B67" w:rsidRDefault="00352D48" w:rsidP="00C4314F">
      <w:pPr>
        <w:keepNext/>
      </w:pPr>
      <w:r w:rsidRPr="00D13B67">
        <w:rPr>
          <w:noProof/>
        </w:rPr>
        <w:drawing>
          <wp:inline distT="0" distB="0" distL="0" distR="0" wp14:anchorId="4C7E0D36" wp14:editId="19A6CC4E">
            <wp:extent cx="5943600" cy="7694295"/>
            <wp:effectExtent l="0" t="0" r="0" b="1905"/>
            <wp:docPr id="503318107" name="Picture 20" descr="P10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18107" name="Picture 20" descr="P1011#yIS1"/>
                    <pic:cNvPicPr/>
                  </pic:nvPicPr>
                  <pic:blipFill>
                    <a:blip r:embed="rId256">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sidR="002C7920" w:rsidRPr="00D13B67">
        <w:br w:type="page"/>
      </w:r>
    </w:p>
    <w:p w14:paraId="5310CFA6" w14:textId="490E29FB" w:rsidR="00CD24EB" w:rsidRPr="00D13B67" w:rsidRDefault="00CD24EB" w:rsidP="00CD24EB">
      <w:pPr>
        <w:pStyle w:val="Heading3"/>
      </w:pPr>
      <w:bookmarkStart w:id="67" w:name="_Appendix_E:_Student"/>
      <w:bookmarkStart w:id="68" w:name="_Toc228868015"/>
      <w:bookmarkEnd w:id="67"/>
      <w:r w:rsidRPr="00D13B67">
        <w:lastRenderedPageBreak/>
        <w:t xml:space="preserve">Appendix </w:t>
      </w:r>
      <w:r w:rsidR="00EC67AC" w:rsidRPr="00D13B67">
        <w:t>C</w:t>
      </w:r>
      <w:r w:rsidRPr="00D13B67">
        <w:t>: Student Interview Script</w:t>
      </w:r>
      <w:bookmarkEnd w:id="68"/>
    </w:p>
    <w:p w14:paraId="76B0306D" w14:textId="77777777" w:rsidR="00CD24EB" w:rsidRPr="00D13B67" w:rsidRDefault="00CD24EB" w:rsidP="0080241A">
      <w:pPr>
        <w:rPr>
          <w:rFonts w:ascii="Segoe UI" w:hAnsi="Segoe UI" w:cs="Segoe UI"/>
          <w:sz w:val="18"/>
          <w:szCs w:val="18"/>
        </w:rPr>
      </w:pPr>
      <w:r w:rsidRPr="00D13B67">
        <w:t>Student Interview Script </w:t>
      </w:r>
    </w:p>
    <w:p w14:paraId="603EB3BE" w14:textId="77777777" w:rsidR="00CD24EB" w:rsidRPr="00D13B67" w:rsidRDefault="00CD24EB" w:rsidP="00CD24EB">
      <w:pPr>
        <w:rPr>
          <w:rFonts w:ascii="Segoe UI" w:hAnsi="Segoe UI"/>
          <w:sz w:val="18"/>
          <w:szCs w:val="18"/>
        </w:rPr>
      </w:pPr>
      <w:r w:rsidRPr="00D13B67">
        <w:t>Thanks for being here. This session is part of a research project to improve digital accessibility at Langara. I am going to ask you about your experiences with course materials—what has worked, what hasn’t, and what you think would help. You are helping co-design solutions, not just report problems. </w:t>
      </w:r>
    </w:p>
    <w:p w14:paraId="60825A4F" w14:textId="77777777" w:rsidR="00CD24EB" w:rsidRPr="00D13B67" w:rsidRDefault="00CD24EB" w:rsidP="00CD24EB">
      <w:pPr>
        <w:rPr>
          <w:rFonts w:ascii="Segoe UI" w:hAnsi="Segoe UI"/>
          <w:sz w:val="18"/>
          <w:szCs w:val="18"/>
        </w:rPr>
      </w:pPr>
      <w:r w:rsidRPr="00D13B67">
        <w:t>I will record the audio of this session to ensure I accurately reflect your insights as well as keep copies of anything we write down or create. However, no identifiable information will be presented to anyone. I will ensure any specific mentions of a course or instructor are edited out of the recordings. </w:t>
      </w:r>
    </w:p>
    <w:p w14:paraId="03CF842F" w14:textId="77777777" w:rsidR="00CD24EB" w:rsidRPr="00D13B67" w:rsidRDefault="00CD24EB" w:rsidP="00CD24EB">
      <w:pPr>
        <w:rPr>
          <w:rFonts w:ascii="Segoe UI" w:hAnsi="Segoe UI"/>
          <w:sz w:val="18"/>
          <w:szCs w:val="18"/>
        </w:rPr>
      </w:pPr>
      <w:r w:rsidRPr="00D13B67">
        <w:t>You can skip any question or stop at any time. Any questions before we begin? </w:t>
      </w:r>
    </w:p>
    <w:p w14:paraId="4B0EBFBD" w14:textId="77777777" w:rsidR="00CD24EB" w:rsidRPr="00D13B67" w:rsidRDefault="00CD24EB" w:rsidP="00CD24EB">
      <w:pPr>
        <w:rPr>
          <w:rFonts w:ascii="Segoe UI" w:hAnsi="Segoe UI"/>
          <w:sz w:val="18"/>
          <w:szCs w:val="18"/>
        </w:rPr>
      </w:pPr>
      <w:r w:rsidRPr="00D13B67">
        <w:t>Potential activities are marked </w:t>
      </w:r>
      <w:r w:rsidRPr="00D13B67">
        <w:rPr>
          <w:b/>
        </w:rPr>
        <w:t>bold</w:t>
      </w:r>
      <w:r w:rsidRPr="00D13B67">
        <w:t>, e.g., </w:t>
      </w:r>
      <w:r w:rsidRPr="00D13B67">
        <w:rPr>
          <w:b/>
        </w:rPr>
        <w:t>Journey map</w:t>
      </w:r>
      <w:r w:rsidRPr="00D13B67">
        <w:t>, and activities begin on page 4. </w:t>
      </w:r>
    </w:p>
    <w:p w14:paraId="0FDE8623" w14:textId="77777777" w:rsidR="00CD24EB" w:rsidRPr="00D13B67" w:rsidRDefault="00CD24EB" w:rsidP="0080241A">
      <w:pPr>
        <w:rPr>
          <w:rFonts w:ascii="Segoe UI" w:hAnsi="Segoe UI"/>
          <w:sz w:val="18"/>
          <w:szCs w:val="18"/>
        </w:rPr>
      </w:pPr>
      <w:r w:rsidRPr="00D13B67">
        <w:t>General Experience with Digital Learning </w:t>
      </w:r>
    </w:p>
    <w:p w14:paraId="66CCA356" w14:textId="77777777" w:rsidR="00CD24EB" w:rsidRPr="00D13B67" w:rsidRDefault="00CD24EB" w:rsidP="0080241A">
      <w:pPr>
        <w:pStyle w:val="ListParagraph"/>
        <w:numPr>
          <w:ilvl w:val="0"/>
          <w:numId w:val="7"/>
        </w:numPr>
      </w:pPr>
      <w:r w:rsidRPr="00D13B67">
        <w:t>Can you tell me about your overall experience with digital learning materials at Langara? </w:t>
      </w:r>
    </w:p>
    <w:p w14:paraId="53A3040A" w14:textId="77777777" w:rsidR="00CD24EB" w:rsidRPr="00D13B67" w:rsidRDefault="00CD24EB" w:rsidP="0080241A">
      <w:pPr>
        <w:pStyle w:val="ListParagraph"/>
        <w:numPr>
          <w:ilvl w:val="0"/>
          <w:numId w:val="7"/>
        </w:numPr>
      </w:pPr>
      <w:r w:rsidRPr="00D13B67">
        <w:t>How does your experience accessing content differ across courses or instructors? </w:t>
      </w:r>
    </w:p>
    <w:p w14:paraId="2FDEDFC1" w14:textId="77777777" w:rsidR="00CD24EB" w:rsidRPr="00D13B67" w:rsidRDefault="00CD24EB" w:rsidP="0080241A">
      <w:pPr>
        <w:pStyle w:val="ListParagraph"/>
        <w:numPr>
          <w:ilvl w:val="1"/>
          <w:numId w:val="7"/>
        </w:numPr>
      </w:pPr>
      <w:r w:rsidRPr="00D13B67">
        <w:t>If applicable, how does your experience with digital learning material at Langara compare to your experience with digital learning material at other schools? </w:t>
      </w:r>
    </w:p>
    <w:p w14:paraId="143ACD14" w14:textId="77777777" w:rsidR="00CD24EB" w:rsidRPr="00D13B67" w:rsidRDefault="00CD24EB" w:rsidP="0080241A">
      <w:pPr>
        <w:pStyle w:val="ListParagraph"/>
        <w:numPr>
          <w:ilvl w:val="2"/>
          <w:numId w:val="7"/>
        </w:numPr>
      </w:pPr>
      <w:r w:rsidRPr="00D13B67">
        <w:t>Why do you think that difference exists? Is it tools, awareness, effort, or something else? </w:t>
      </w:r>
    </w:p>
    <w:p w14:paraId="2EDA2333" w14:textId="77777777" w:rsidR="00CD24EB" w:rsidRPr="00D13B67" w:rsidRDefault="00CD24EB" w:rsidP="0080241A">
      <w:pPr>
        <w:pStyle w:val="ListParagraph"/>
        <w:numPr>
          <w:ilvl w:val="0"/>
          <w:numId w:val="7"/>
        </w:numPr>
      </w:pPr>
      <w:r w:rsidRPr="00D13B67">
        <w:t>Can you describe how you typically access and engage with course content like readings, videos, or lecture slides? </w:t>
      </w:r>
    </w:p>
    <w:p w14:paraId="01853871" w14:textId="77777777" w:rsidR="00CD24EB" w:rsidRPr="00D13B67" w:rsidRDefault="00CD24EB" w:rsidP="0080241A">
      <w:pPr>
        <w:pStyle w:val="ListParagraph"/>
        <w:numPr>
          <w:ilvl w:val="0"/>
          <w:numId w:val="7"/>
        </w:numPr>
      </w:pPr>
      <w:r w:rsidRPr="00D13B67">
        <w:t>Before we move forward, let’s quickly map out how different formats (e.g., PDFs, videos, Brightspace) work for you... </w:t>
      </w:r>
      <w:r w:rsidRPr="00D13B67">
        <w:rPr>
          <w:b/>
        </w:rPr>
        <w:t>® Journey map</w:t>
      </w:r>
      <w:r w:rsidRPr="00D13B67">
        <w:t> </w:t>
      </w:r>
    </w:p>
    <w:p w14:paraId="6ED30384" w14:textId="77777777" w:rsidR="00CD24EB" w:rsidRPr="00D13B67" w:rsidRDefault="00CD24EB" w:rsidP="0080241A">
      <w:pPr>
        <w:pStyle w:val="ListParagraph"/>
        <w:numPr>
          <w:ilvl w:val="1"/>
          <w:numId w:val="7"/>
        </w:numPr>
      </w:pPr>
      <w:r w:rsidRPr="00D13B67">
        <w:t>What devices or tools do you usually rely on to navigate digital learning environments? </w:t>
      </w:r>
    </w:p>
    <w:p w14:paraId="303ACF33" w14:textId="77777777" w:rsidR="00CD24EB" w:rsidRPr="00D13B67" w:rsidRDefault="00CD24EB" w:rsidP="0080241A">
      <w:pPr>
        <w:rPr>
          <w:rFonts w:ascii="Segoe UI" w:hAnsi="Segoe UI"/>
          <w:sz w:val="18"/>
          <w:szCs w:val="18"/>
        </w:rPr>
      </w:pPr>
      <w:r w:rsidRPr="00D13B67">
        <w:t>Barriers and Accessibility Challenges </w:t>
      </w:r>
    </w:p>
    <w:p w14:paraId="5B2B9A4A" w14:textId="77777777" w:rsidR="00CD24EB" w:rsidRPr="00D13B67" w:rsidRDefault="00CD24EB" w:rsidP="0080241A">
      <w:pPr>
        <w:pStyle w:val="ListParagraph"/>
        <w:numPr>
          <w:ilvl w:val="0"/>
          <w:numId w:val="8"/>
        </w:numPr>
      </w:pPr>
      <w:r w:rsidRPr="00D13B67">
        <w:t>Have you ever struggled to access a learning resource because of its format or design? </w:t>
      </w:r>
    </w:p>
    <w:p w14:paraId="32CADCA7" w14:textId="77777777" w:rsidR="00CD24EB" w:rsidRPr="00D13B67" w:rsidRDefault="00CD24EB" w:rsidP="0080241A">
      <w:pPr>
        <w:pStyle w:val="ListParagraph"/>
        <w:numPr>
          <w:ilvl w:val="1"/>
          <w:numId w:val="8"/>
        </w:numPr>
      </w:pPr>
      <w:r w:rsidRPr="00D13B67">
        <w:t>How did that make you feel? </w:t>
      </w:r>
    </w:p>
    <w:p w14:paraId="2B7FCF5B" w14:textId="77777777" w:rsidR="00CD24EB" w:rsidRPr="00D13B67" w:rsidRDefault="00CD24EB" w:rsidP="0080241A">
      <w:pPr>
        <w:pStyle w:val="ListParagraph"/>
        <w:numPr>
          <w:ilvl w:val="0"/>
          <w:numId w:val="8"/>
        </w:numPr>
      </w:pPr>
      <w:r w:rsidRPr="00D13B67">
        <w:t>"Are there times when you’ve felt excluded or overlooked because of the digital learning material required for a course?" </w:t>
      </w:r>
      <w:r w:rsidRPr="00D13B67">
        <w:rPr>
          <w:b/>
        </w:rPr>
        <w:t>®</w:t>
      </w:r>
      <w:r w:rsidRPr="00D13B67">
        <w:t> </w:t>
      </w:r>
      <w:r w:rsidRPr="00D13B67">
        <w:rPr>
          <w:b/>
        </w:rPr>
        <w:t>Empathy map</w:t>
      </w:r>
      <w:r w:rsidRPr="00D13B67">
        <w:t> </w:t>
      </w:r>
    </w:p>
    <w:p w14:paraId="6142A3FB" w14:textId="77777777" w:rsidR="00CD24EB" w:rsidRPr="00D13B67" w:rsidRDefault="00CD24EB" w:rsidP="0080241A">
      <w:pPr>
        <w:pStyle w:val="ListParagraph"/>
        <w:numPr>
          <w:ilvl w:val="0"/>
          <w:numId w:val="8"/>
        </w:numPr>
      </w:pPr>
      <w:r w:rsidRPr="00D13B67">
        <w:t>What types of content (e.g., PDFs, videos, websites, slides) do you find most difficult to use? </w:t>
      </w:r>
    </w:p>
    <w:p w14:paraId="5499D0CA" w14:textId="77777777" w:rsidR="00CD24EB" w:rsidRPr="00D13B67" w:rsidRDefault="00CD24EB" w:rsidP="0080241A">
      <w:pPr>
        <w:pStyle w:val="ListParagraph"/>
        <w:numPr>
          <w:ilvl w:val="1"/>
          <w:numId w:val="8"/>
        </w:numPr>
      </w:pPr>
      <w:r w:rsidRPr="00D13B67">
        <w:rPr>
          <w:b/>
        </w:rPr>
        <w:t>Examples </w:t>
      </w:r>
      <w:r w:rsidRPr="00D13B67">
        <w:t>(if necessary) </w:t>
      </w:r>
    </w:p>
    <w:p w14:paraId="2BEBB1D9" w14:textId="77777777" w:rsidR="00CD24EB" w:rsidRPr="00D13B67" w:rsidRDefault="00CD24EB" w:rsidP="0080241A">
      <w:pPr>
        <w:pStyle w:val="ListParagraph"/>
        <w:numPr>
          <w:ilvl w:val="1"/>
          <w:numId w:val="8"/>
        </w:numPr>
      </w:pPr>
      <w:r w:rsidRPr="00D13B67">
        <w:lastRenderedPageBreak/>
        <w:t>Have you faced barriers in Brightspace or another LMS or Courseware (e.g., Achieve, </w:t>
      </w:r>
      <w:proofErr w:type="spellStart"/>
      <w:r w:rsidRPr="00D13B67">
        <w:t>LaunchPad</w:t>
      </w:r>
      <w:proofErr w:type="spellEnd"/>
      <w:r w:rsidRPr="00D13B67">
        <w:t>, Connect, MindTap, My Lab Management, Pearson+, </w:t>
      </w:r>
      <w:proofErr w:type="spellStart"/>
      <w:r w:rsidRPr="00D13B67">
        <w:t>WileyPlus</w:t>
      </w:r>
      <w:proofErr w:type="spellEnd"/>
      <w:r w:rsidRPr="00D13B67">
        <w:t>) </w:t>
      </w:r>
    </w:p>
    <w:p w14:paraId="0C128ADB" w14:textId="77777777" w:rsidR="00CD24EB" w:rsidRPr="00D13B67" w:rsidRDefault="00CD24EB" w:rsidP="0080241A">
      <w:pPr>
        <w:pStyle w:val="ListParagraph"/>
        <w:numPr>
          <w:ilvl w:val="1"/>
          <w:numId w:val="8"/>
        </w:numPr>
      </w:pPr>
      <w:r w:rsidRPr="00D13B67">
        <w:t>Now let’s map your experience with specific digital formats—what can’t you use, what’s difficult, and what works? </w:t>
      </w:r>
      <w:r w:rsidRPr="00D13B67">
        <w:rPr>
          <w:b/>
        </w:rPr>
        <w:t>®</w:t>
      </w:r>
      <w:r w:rsidRPr="00D13B67">
        <w:t> </w:t>
      </w:r>
      <w:r w:rsidRPr="00D13B67">
        <w:rPr>
          <w:b/>
        </w:rPr>
        <w:t>Inclusive design map</w:t>
      </w:r>
      <w:r w:rsidRPr="00D13B67">
        <w:t> </w:t>
      </w:r>
    </w:p>
    <w:p w14:paraId="3E65AFCD" w14:textId="77777777" w:rsidR="00CD24EB" w:rsidRPr="00D13B67" w:rsidRDefault="00CD24EB" w:rsidP="0080241A">
      <w:pPr>
        <w:pStyle w:val="ListParagraph"/>
        <w:numPr>
          <w:ilvl w:val="0"/>
          <w:numId w:val="8"/>
        </w:numPr>
      </w:pPr>
      <w:r w:rsidRPr="00D13B67">
        <w:t>Can we map out that difficult experience step-by-step? Where did you get stuck, how did you feel, and what could have helped? </w:t>
      </w:r>
      <w:r w:rsidRPr="00D13B67">
        <w:rPr>
          <w:b/>
        </w:rPr>
        <w:t>® Journey map</w:t>
      </w:r>
      <w:r w:rsidRPr="00D13B67">
        <w:t> </w:t>
      </w:r>
    </w:p>
    <w:p w14:paraId="5E1626CF" w14:textId="77777777" w:rsidR="00CD24EB" w:rsidRPr="00D13B67" w:rsidRDefault="00CD24EB" w:rsidP="0080241A">
      <w:pPr>
        <w:pStyle w:val="ListParagraph"/>
        <w:numPr>
          <w:ilvl w:val="1"/>
          <w:numId w:val="8"/>
        </w:numPr>
      </w:pPr>
      <w:r w:rsidRPr="00D13B67">
        <w:t>Can you recall any specific examples and what made them difficult for you? </w:t>
      </w:r>
    </w:p>
    <w:p w14:paraId="12DBBD27" w14:textId="77777777" w:rsidR="00CD24EB" w:rsidRPr="00D13B67" w:rsidRDefault="00CD24EB" w:rsidP="0080241A">
      <w:pPr>
        <w:pStyle w:val="ListParagraph"/>
        <w:numPr>
          <w:ilvl w:val="1"/>
          <w:numId w:val="8"/>
        </w:numPr>
      </w:pPr>
      <w:r w:rsidRPr="00D13B67">
        <w:t>Was it about how it looked, how it worked, how it was explained—or something else? </w:t>
      </w:r>
    </w:p>
    <w:p w14:paraId="12F42E81" w14:textId="77777777" w:rsidR="00CD24EB" w:rsidRPr="00D13B67" w:rsidRDefault="00CD24EB" w:rsidP="0080241A">
      <w:pPr>
        <w:rPr>
          <w:rFonts w:ascii="Segoe UI" w:hAnsi="Segoe UI"/>
          <w:sz w:val="18"/>
          <w:szCs w:val="18"/>
        </w:rPr>
      </w:pPr>
      <w:r w:rsidRPr="00D13B67">
        <w:t>Positive Experiences </w:t>
      </w:r>
    </w:p>
    <w:p w14:paraId="3CA8BA38" w14:textId="77777777" w:rsidR="00CD24EB" w:rsidRPr="00D13B67" w:rsidRDefault="00CD24EB" w:rsidP="0080241A">
      <w:pPr>
        <w:pStyle w:val="ListParagraph"/>
        <w:numPr>
          <w:ilvl w:val="0"/>
          <w:numId w:val="9"/>
        </w:numPr>
      </w:pPr>
      <w:r w:rsidRPr="00D13B67">
        <w:t>Can you describe a course where the digital materials were especially accessible or inclusive? </w:t>
      </w:r>
    </w:p>
    <w:p w14:paraId="2FFCC864" w14:textId="77777777" w:rsidR="00CD24EB" w:rsidRPr="00D13B67" w:rsidRDefault="00CD24EB" w:rsidP="0080241A">
      <w:pPr>
        <w:pStyle w:val="ListParagraph"/>
        <w:numPr>
          <w:ilvl w:val="0"/>
          <w:numId w:val="9"/>
        </w:numPr>
      </w:pPr>
      <w:r w:rsidRPr="00D13B67">
        <w:t>What did the instructor do that made a difference in your ability to participate or learn? </w:t>
      </w:r>
    </w:p>
    <w:p w14:paraId="0FA07A33" w14:textId="77777777" w:rsidR="00CD24EB" w:rsidRPr="00D13B67" w:rsidRDefault="00CD24EB" w:rsidP="0080241A">
      <w:pPr>
        <w:pStyle w:val="ListParagraph"/>
        <w:numPr>
          <w:ilvl w:val="0"/>
          <w:numId w:val="9"/>
        </w:numPr>
      </w:pPr>
      <w:r w:rsidRPr="00D13B67">
        <w:t>Have you ever been asked for feedback on accessibility before? What was that experience like? </w:t>
      </w:r>
    </w:p>
    <w:p w14:paraId="1A7CB026" w14:textId="77777777" w:rsidR="00CD24EB" w:rsidRPr="00D13B67" w:rsidRDefault="00CD24EB" w:rsidP="0080241A">
      <w:pPr>
        <w:pStyle w:val="ListParagraph"/>
        <w:numPr>
          <w:ilvl w:val="0"/>
          <w:numId w:val="9"/>
        </w:numPr>
      </w:pPr>
      <w:r w:rsidRPr="00D13B67">
        <w:t>Have you ever had a course where you did not need to inform your instructor of your accommodations (because their course design, assessments, etc. Worked for you?) </w:t>
      </w:r>
    </w:p>
    <w:p w14:paraId="3C7E6F6E" w14:textId="77777777" w:rsidR="00CD24EB" w:rsidRPr="00D13B67" w:rsidRDefault="00CD24EB" w:rsidP="0080241A">
      <w:pPr>
        <w:pStyle w:val="ListParagraph"/>
        <w:numPr>
          <w:ilvl w:val="1"/>
          <w:numId w:val="9"/>
        </w:numPr>
      </w:pPr>
      <w:r w:rsidRPr="00D13B67">
        <w:t>What about that course worked so well for you? </w:t>
      </w:r>
    </w:p>
    <w:p w14:paraId="5985AFB1" w14:textId="77777777" w:rsidR="00CD24EB" w:rsidRPr="00D13B67" w:rsidRDefault="00CD24EB" w:rsidP="0080241A">
      <w:pPr>
        <w:pStyle w:val="ListParagraph"/>
        <w:numPr>
          <w:ilvl w:val="0"/>
          <w:numId w:val="9"/>
        </w:numPr>
      </w:pPr>
      <w:r w:rsidRPr="00D13B67">
        <w:t>Let’s use an </w:t>
      </w:r>
      <w:r w:rsidRPr="00D13B67">
        <w:rPr>
          <w:b/>
        </w:rPr>
        <w:t>empathy map</w:t>
      </w:r>
      <w:r w:rsidRPr="00D13B67">
        <w:t> to capture what you were feeling and thinking in that accessible course: what made it different, how did you feel, and what were your goals? </w:t>
      </w:r>
    </w:p>
    <w:p w14:paraId="78B2063E" w14:textId="77777777" w:rsidR="00CD24EB" w:rsidRPr="00D13B67" w:rsidRDefault="00CD24EB" w:rsidP="0080241A">
      <w:pPr>
        <w:rPr>
          <w:rFonts w:ascii="Segoe UI" w:hAnsi="Segoe UI"/>
          <w:sz w:val="18"/>
          <w:szCs w:val="18"/>
        </w:rPr>
      </w:pPr>
      <w:r w:rsidRPr="00D13B67">
        <w:t>Feedback and Advice for Instructors </w:t>
      </w:r>
    </w:p>
    <w:p w14:paraId="60A67CC5" w14:textId="77777777" w:rsidR="00CD24EB" w:rsidRPr="00D13B67" w:rsidRDefault="00CD24EB" w:rsidP="0080241A">
      <w:pPr>
        <w:pStyle w:val="ListParagraph"/>
        <w:numPr>
          <w:ilvl w:val="0"/>
          <w:numId w:val="10"/>
        </w:numPr>
      </w:pPr>
      <w:r w:rsidRPr="00D13B67">
        <w:t>What do you wish more instructors understood about digital accessibility? </w:t>
      </w:r>
    </w:p>
    <w:p w14:paraId="6E0D8255" w14:textId="77777777" w:rsidR="00CD24EB" w:rsidRPr="00D13B67" w:rsidRDefault="00CD24EB" w:rsidP="0080241A">
      <w:pPr>
        <w:pStyle w:val="ListParagraph"/>
        <w:numPr>
          <w:ilvl w:val="0"/>
          <w:numId w:val="10"/>
        </w:numPr>
      </w:pPr>
      <w:r w:rsidRPr="00D13B67">
        <w:t>How would you want them to hear or learn that message? </w:t>
      </w:r>
    </w:p>
    <w:p w14:paraId="174DDEE2" w14:textId="77777777" w:rsidR="00CD24EB" w:rsidRPr="00D13B67" w:rsidRDefault="00CD24EB" w:rsidP="0080241A">
      <w:pPr>
        <w:pStyle w:val="ListParagraph"/>
        <w:numPr>
          <w:ilvl w:val="0"/>
          <w:numId w:val="10"/>
        </w:numPr>
      </w:pPr>
      <w:r w:rsidRPr="00D13B67">
        <w:t>What would you want to see included in a workshop that trains staff on accessibility? </w:t>
      </w:r>
    </w:p>
    <w:p w14:paraId="216C3C13" w14:textId="77777777" w:rsidR="00CD24EB" w:rsidRPr="00D13B67" w:rsidRDefault="00CD24EB" w:rsidP="0080241A">
      <w:pPr>
        <w:pStyle w:val="ListParagraph"/>
        <w:numPr>
          <w:ilvl w:val="1"/>
          <w:numId w:val="10"/>
        </w:numPr>
      </w:pPr>
      <w:r w:rsidRPr="00D13B67">
        <w:t>Student stories? Examples? </w:t>
      </w:r>
      <w:r w:rsidRPr="00D13B67">
        <w:rPr>
          <w:b/>
        </w:rPr>
        <w:t>® 3 ideas</w:t>
      </w:r>
      <w:r w:rsidRPr="00D13B67">
        <w:t> </w:t>
      </w:r>
    </w:p>
    <w:p w14:paraId="504972AD" w14:textId="77777777" w:rsidR="00CD24EB" w:rsidRPr="00D13B67" w:rsidRDefault="00CD24EB" w:rsidP="0080241A">
      <w:pPr>
        <w:pStyle w:val="ListParagraph"/>
        <w:numPr>
          <w:ilvl w:val="0"/>
          <w:numId w:val="10"/>
        </w:numPr>
      </w:pPr>
      <w:r w:rsidRPr="00D13B67">
        <w:t>What would be one change instructors could make that would have made a big difference for you? What do you think would be the best way for instructors to understand your experience? </w:t>
      </w:r>
    </w:p>
    <w:p w14:paraId="2CC14585" w14:textId="77777777" w:rsidR="00CD24EB" w:rsidRPr="00D13B67" w:rsidRDefault="00CD24EB" w:rsidP="0080241A">
      <w:pPr>
        <w:pStyle w:val="ListParagraph"/>
        <w:numPr>
          <w:ilvl w:val="1"/>
          <w:numId w:val="10"/>
        </w:numPr>
      </w:pPr>
      <w:r w:rsidRPr="00D13B67">
        <w:t>Let’s dig deeper into why that matters. Why should instructors [do that action]? Why is that important...? </w:t>
      </w:r>
      <w:r w:rsidRPr="00D13B67">
        <w:rPr>
          <w:b/>
        </w:rPr>
        <w:t>® Why </w:t>
      </w:r>
      <w:proofErr w:type="spellStart"/>
      <w:r w:rsidRPr="00D13B67">
        <w:rPr>
          <w:b/>
        </w:rPr>
        <w:t>why</w:t>
      </w:r>
      <w:proofErr w:type="spellEnd"/>
      <w:r w:rsidRPr="00D13B67">
        <w:rPr>
          <w:b/>
        </w:rPr>
        <w:t> </w:t>
      </w:r>
      <w:proofErr w:type="spellStart"/>
      <w:r w:rsidRPr="00D13B67">
        <w:rPr>
          <w:b/>
        </w:rPr>
        <w:t>why</w:t>
      </w:r>
      <w:proofErr w:type="spellEnd"/>
      <w:r w:rsidRPr="00D13B67">
        <w:t> </w:t>
      </w:r>
    </w:p>
    <w:p w14:paraId="0D94BDA9" w14:textId="77777777" w:rsidR="00CD24EB" w:rsidRPr="00D13B67" w:rsidRDefault="00CD24EB" w:rsidP="0080241A">
      <w:pPr>
        <w:pStyle w:val="ListParagraph"/>
        <w:numPr>
          <w:ilvl w:val="1"/>
          <w:numId w:val="10"/>
        </w:numPr>
      </w:pPr>
      <w:r w:rsidRPr="00D13B67">
        <w:t>Let’s quickly sketch out possible solutions to this problem. What could instructors do to fix it? Let’s think practically, radically, or even simple "band-aid" solutions. </w:t>
      </w:r>
      <w:r w:rsidRPr="00D13B67">
        <w:rPr>
          <w:b/>
        </w:rPr>
        <w:t>® Quad Ideation, 3 Ideas</w:t>
      </w:r>
      <w:r w:rsidRPr="00D13B67">
        <w:t> </w:t>
      </w:r>
    </w:p>
    <w:p w14:paraId="1E3CB4AB" w14:textId="77777777" w:rsidR="00CD24EB" w:rsidRPr="00D13B67" w:rsidRDefault="00CD24EB" w:rsidP="0080241A">
      <w:pPr>
        <w:pStyle w:val="ListParagraph"/>
        <w:numPr>
          <w:ilvl w:val="1"/>
          <w:numId w:val="10"/>
        </w:numPr>
      </w:pPr>
      <w:r w:rsidRPr="00D13B67">
        <w:lastRenderedPageBreak/>
        <w:t>What made that feel like a “big” difference? </w:t>
      </w:r>
    </w:p>
    <w:p w14:paraId="19EBC769" w14:textId="77777777" w:rsidR="00CD24EB" w:rsidRPr="00D13B67" w:rsidRDefault="00CD24EB" w:rsidP="0080241A">
      <w:pPr>
        <w:pStyle w:val="ListParagraph"/>
        <w:numPr>
          <w:ilvl w:val="0"/>
          <w:numId w:val="10"/>
        </w:numPr>
      </w:pPr>
      <w:r w:rsidRPr="00D13B67">
        <w:t>If an instructor </w:t>
      </w:r>
      <w:proofErr w:type="gramStart"/>
      <w:r w:rsidRPr="00D13B67">
        <w:t>said</w:t>
      </w:r>
      <w:proofErr w:type="gramEnd"/>
      <w:r w:rsidRPr="00D13B67">
        <w:t> “I don’t know how” or “when am I expected to do this?” how would you respond? </w:t>
      </w:r>
      <w:r w:rsidRPr="00D13B67">
        <w:rPr>
          <w:b/>
        </w:rPr>
        <w:t>® Empathy map</w:t>
      </w:r>
      <w:r w:rsidRPr="00D13B67">
        <w:t>, </w:t>
      </w:r>
      <w:r w:rsidRPr="00D13B67">
        <w:rPr>
          <w:b/>
        </w:rPr>
        <w:t>Users/stakeholders</w:t>
      </w:r>
      <w:r w:rsidRPr="00D13B67">
        <w:t> </w:t>
      </w:r>
    </w:p>
    <w:p w14:paraId="054DBEF8" w14:textId="77777777" w:rsidR="00CD24EB" w:rsidRPr="00D13B67" w:rsidRDefault="00CD24EB" w:rsidP="0080241A">
      <w:pPr>
        <w:rPr>
          <w:rFonts w:ascii="Segoe UI" w:hAnsi="Segoe UI"/>
          <w:sz w:val="18"/>
          <w:szCs w:val="18"/>
        </w:rPr>
      </w:pPr>
      <w:r w:rsidRPr="00D13B67">
        <w:t>Reflective and Emotional Impact </w:t>
      </w:r>
    </w:p>
    <w:p w14:paraId="12A3EFF0" w14:textId="77777777" w:rsidR="00CD24EB" w:rsidRPr="00D13B67" w:rsidRDefault="00CD24EB" w:rsidP="0080241A">
      <w:pPr>
        <w:pStyle w:val="ListParagraph"/>
        <w:numPr>
          <w:ilvl w:val="0"/>
          <w:numId w:val="11"/>
        </w:numPr>
      </w:pPr>
      <w:r w:rsidRPr="00D13B67">
        <w:t>How does inaccessible content affect your learning, your time, or your sense of belonging? </w:t>
      </w:r>
    </w:p>
    <w:p w14:paraId="36387460" w14:textId="77777777" w:rsidR="00CD24EB" w:rsidRPr="00D13B67" w:rsidRDefault="00CD24EB" w:rsidP="0080241A">
      <w:pPr>
        <w:pStyle w:val="ListParagraph"/>
        <w:numPr>
          <w:ilvl w:val="0"/>
          <w:numId w:val="11"/>
        </w:numPr>
      </w:pPr>
      <w:r w:rsidRPr="00D13B67">
        <w:t>"Let’s imagine one positive change happened. How could this small improvement have wider impacts for you and other students? Let’s brainstorm that together..." </w:t>
      </w:r>
      <w:r w:rsidRPr="00D13B67">
        <w:rPr>
          <w:b/>
        </w:rPr>
        <w:t>® Inclusive design map</w:t>
      </w:r>
      <w:r w:rsidRPr="00D13B67">
        <w:t> </w:t>
      </w:r>
    </w:p>
    <w:p w14:paraId="2ED54478" w14:textId="77777777" w:rsidR="00CD24EB" w:rsidRPr="00D13B67" w:rsidRDefault="00CD24EB" w:rsidP="0080241A">
      <w:pPr>
        <w:pStyle w:val="ListParagraph"/>
        <w:numPr>
          <w:ilvl w:val="0"/>
          <w:numId w:val="11"/>
        </w:numPr>
      </w:pPr>
      <w:r w:rsidRPr="00D13B67">
        <w:t>Do you feel comfortable advocating for accessibility changes? Why or why not? </w:t>
      </w:r>
    </w:p>
    <w:p w14:paraId="46B06EE8" w14:textId="77777777" w:rsidR="00CD24EB" w:rsidRPr="00D13B67" w:rsidRDefault="00CD24EB" w:rsidP="0080241A">
      <w:pPr>
        <w:pStyle w:val="ListParagraph"/>
        <w:numPr>
          <w:ilvl w:val="0"/>
          <w:numId w:val="11"/>
        </w:numPr>
      </w:pPr>
      <w:r w:rsidRPr="00D13B67">
        <w:t>How could students be involved more meaningfully in future accessibility initiatives? </w:t>
      </w:r>
    </w:p>
    <w:p w14:paraId="799BA6C6" w14:textId="77777777" w:rsidR="00CD24EB" w:rsidRPr="00D13B67" w:rsidRDefault="00CD24EB" w:rsidP="0080241A">
      <w:pPr>
        <w:pStyle w:val="ListParagraph"/>
        <w:numPr>
          <w:ilvl w:val="0"/>
          <w:numId w:val="11"/>
        </w:numPr>
      </w:pPr>
      <w:r w:rsidRPr="00D13B67">
        <w:t>Let's quickly map out who influences accessibility changes and where students fit in—what roles should students have, and how much influence should they hold? </w:t>
      </w:r>
      <w:r w:rsidRPr="00D13B67">
        <w:rPr>
          <w:b/>
        </w:rPr>
        <w:t>® Users/stakeholders</w:t>
      </w:r>
      <w:r w:rsidRPr="00D13B67">
        <w:t> </w:t>
      </w:r>
    </w:p>
    <w:p w14:paraId="6359FABB" w14:textId="77777777" w:rsidR="00CD24EB" w:rsidRPr="00D13B67" w:rsidRDefault="00CD24EB" w:rsidP="0080241A">
      <w:pPr>
        <w:pStyle w:val="ListParagraph"/>
        <w:numPr>
          <w:ilvl w:val="0"/>
          <w:numId w:val="11"/>
        </w:numPr>
      </w:pPr>
      <w:r w:rsidRPr="00D13B67">
        <w:t>Would you prefer to offer input asynchronously at any point? </w:t>
      </w:r>
    </w:p>
    <w:p w14:paraId="0DF4BB11" w14:textId="77777777" w:rsidR="00CD24EB" w:rsidRPr="00D13B67" w:rsidRDefault="00CD24EB" w:rsidP="0080241A">
      <w:pPr>
        <w:pStyle w:val="ListParagraph"/>
        <w:numPr>
          <w:ilvl w:val="0"/>
          <w:numId w:val="11"/>
        </w:numPr>
      </w:pPr>
      <w:r w:rsidRPr="00D13B67">
        <w:t>If yes, provide async worksheet and reminder of submission deadline date </w:t>
      </w:r>
    </w:p>
    <w:p w14:paraId="00B93A92" w14:textId="77777777" w:rsidR="00CD24EB" w:rsidRPr="00D13B67" w:rsidRDefault="00CD24EB" w:rsidP="0080241A">
      <w:pPr>
        <w:rPr>
          <w:rFonts w:ascii="Segoe UI" w:hAnsi="Segoe UI"/>
          <w:sz w:val="18"/>
          <w:szCs w:val="18"/>
        </w:rPr>
      </w:pPr>
      <w:r w:rsidRPr="00D13B67">
        <w:t> </w:t>
      </w:r>
    </w:p>
    <w:p w14:paraId="5D0899C7" w14:textId="77777777" w:rsidR="00CD24EB" w:rsidRPr="00D13B67" w:rsidRDefault="00CD24EB" w:rsidP="0080241A">
      <w:pPr>
        <w:rPr>
          <w:rFonts w:ascii="Segoe UI" w:hAnsi="Segoe UI"/>
          <w:sz w:val="18"/>
          <w:szCs w:val="18"/>
        </w:rPr>
      </w:pPr>
      <w:r w:rsidRPr="00D13B67">
        <w:t>Conclusion </w:t>
      </w:r>
    </w:p>
    <w:p w14:paraId="176109D1" w14:textId="77777777" w:rsidR="00CD24EB" w:rsidRPr="00D13B67" w:rsidRDefault="00CD24EB" w:rsidP="00CD24EB">
      <w:pPr>
        <w:rPr>
          <w:rFonts w:ascii="Segoe UI" w:hAnsi="Segoe UI"/>
          <w:sz w:val="18"/>
          <w:szCs w:val="18"/>
        </w:rPr>
      </w:pPr>
      <w:r w:rsidRPr="00D13B67">
        <w:t>Thank you so much for your time and insight today. Your contributions are incredibly valuable and will directly shape how accessibility is supported at Langara. </w:t>
      </w:r>
    </w:p>
    <w:p w14:paraId="5A487891" w14:textId="67252749" w:rsidR="00CD24EB" w:rsidRPr="00D13B67" w:rsidRDefault="00CD24EB" w:rsidP="00CD24EB">
      <w:pPr>
        <w:rPr>
          <w:rFonts w:ascii="Segoe UI" w:hAnsi="Segoe UI"/>
          <w:sz w:val="18"/>
          <w:szCs w:val="18"/>
        </w:rPr>
      </w:pPr>
      <w:r w:rsidRPr="00D13B67">
        <w:t>If you have any follow-up thoughts, feel free to reach out by email. You’re welcome to review and edit your responses or entirely withdraw your participation or data at any time before October 31, 2025. To do so, please email </w:t>
      </w:r>
      <w:hyperlink r:id="rId257" w:tgtFrame="_blank" w:history="1">
        <w:r w:rsidRPr="00D13B67">
          <w:rPr>
            <w:color w:val="0000FF"/>
            <w:u w:val="single"/>
          </w:rPr>
          <w:t>lmcknight@OCADU.ca</w:t>
        </w:r>
      </w:hyperlink>
      <w:r w:rsidRPr="00D13B67">
        <w:t> </w:t>
      </w:r>
    </w:p>
    <w:p w14:paraId="294625EC" w14:textId="77777777" w:rsidR="00CD24EB" w:rsidRPr="00D13B67" w:rsidRDefault="00CD24EB" w:rsidP="00CD24EB">
      <w:pPr>
        <w:rPr>
          <w:rFonts w:ascii="Segoe UI" w:hAnsi="Segoe UI"/>
          <w:sz w:val="18"/>
          <w:szCs w:val="18"/>
        </w:rPr>
      </w:pPr>
      <w:r w:rsidRPr="00D13B67">
        <w:t>If you opted in to receive a summary of the results or a link to the final Open Educational Resource, I’ll be in touch once that is ready. </w:t>
      </w:r>
    </w:p>
    <w:p w14:paraId="0329A102" w14:textId="77777777" w:rsidR="00CD24EB" w:rsidRPr="00D13B67" w:rsidRDefault="00CD24EB" w:rsidP="00CD24EB">
      <w:pPr>
        <w:rPr>
          <w:rFonts w:ascii="Segoe UI" w:hAnsi="Segoe UI"/>
          <w:sz w:val="18"/>
          <w:szCs w:val="18"/>
        </w:rPr>
      </w:pPr>
      <w:r w:rsidRPr="00D13B67">
        <w:t>Thanks again for helping make learning more inclusive for everyone. </w:t>
      </w:r>
    </w:p>
    <w:p w14:paraId="6F128E22" w14:textId="77777777" w:rsidR="00CD24EB" w:rsidRPr="00D13B67" w:rsidRDefault="00CD24EB" w:rsidP="0080241A">
      <w:pPr>
        <w:rPr>
          <w:rFonts w:ascii="Segoe UI" w:hAnsi="Segoe UI"/>
          <w:sz w:val="18"/>
          <w:szCs w:val="18"/>
        </w:rPr>
      </w:pPr>
      <w:r w:rsidRPr="00D13B67">
        <w:t>Examples </w:t>
      </w:r>
    </w:p>
    <w:p w14:paraId="35E3A857" w14:textId="77777777" w:rsidR="00CD24EB" w:rsidRPr="00D13B67" w:rsidRDefault="00CD24EB" w:rsidP="0080241A">
      <w:pPr>
        <w:rPr>
          <w:sz w:val="18"/>
          <w:szCs w:val="18"/>
        </w:rPr>
      </w:pPr>
      <w:r w:rsidRPr="00D13B67">
        <w:t>MRP Examples in Brightspace practice course </w:t>
      </w:r>
    </w:p>
    <w:p w14:paraId="79BDD0EB" w14:textId="77777777" w:rsidR="00CD24EB" w:rsidRPr="00D13B67" w:rsidRDefault="00CD24EB" w:rsidP="0080241A">
      <w:pPr>
        <w:pStyle w:val="ListParagraph"/>
        <w:numPr>
          <w:ilvl w:val="0"/>
          <w:numId w:val="12"/>
        </w:numPr>
      </w:pPr>
      <w:r w:rsidRPr="00D13B67">
        <w:t>Consider these examples of digital content. What stands out to you as helpful or harmful? </w:t>
      </w:r>
    </w:p>
    <w:p w14:paraId="0204B3DF" w14:textId="77777777" w:rsidR="00CD24EB" w:rsidRPr="00D13B67" w:rsidRDefault="00CD24EB" w:rsidP="0080241A">
      <w:pPr>
        <w:pStyle w:val="ListParagraph"/>
        <w:numPr>
          <w:ilvl w:val="0"/>
          <w:numId w:val="12"/>
        </w:numPr>
      </w:pPr>
      <w:r w:rsidRPr="00D13B67">
        <w:t>What changes or improvements would you suggest? </w:t>
      </w:r>
    </w:p>
    <w:p w14:paraId="09752617" w14:textId="77777777" w:rsidR="00CD24EB" w:rsidRPr="00D13B67" w:rsidRDefault="00CD24EB" w:rsidP="00CD24EB">
      <w:pPr>
        <w:rPr>
          <w:rFonts w:ascii="Segoe UI" w:hAnsi="Segoe UI"/>
          <w:sz w:val="18"/>
          <w:szCs w:val="18"/>
        </w:rPr>
      </w:pPr>
      <w:r w:rsidRPr="00D13B67">
        <w:t xml:space="preserve">Examples will be crafted from the text of the Universal Declaration of Human Rights (UDHR) formatted in various ways (font size and style, use of colour, responsive and fixed widths, etc.) presented in multiple file formats (HTML, Word document, PDF, scanned PDFs, etc.) Selections of the UDHR text will be copied into a PowerPoint to function as examples of reading order issues, hard-to-read font, poor colour use, cluttered and overcrowded slides, and media without captions and transcripts. The text of the UDHR will </w:t>
      </w:r>
      <w:r w:rsidRPr="00D13B67">
        <w:lastRenderedPageBreak/>
        <w:t>be use in the Brightspace learning management system to exemplify poor link usage; no heading structure; poor general course structure and navigation; lack of useful names for topics, files, and other content; use of colour; uncaptioned and </w:t>
      </w:r>
      <w:proofErr w:type="spellStart"/>
      <w:r w:rsidRPr="00D13B67">
        <w:t>untranscribed</w:t>
      </w:r>
      <w:proofErr w:type="spellEnd"/>
      <w:r w:rsidRPr="00D13B67">
        <w:t> media; and other general LMS issues. Video and audio examples will be taken from the United Nations and/or United Nations Human Rights YouTube accounts. </w:t>
      </w:r>
    </w:p>
    <w:p w14:paraId="6E42FD0C" w14:textId="77777777" w:rsidR="00CD24EB" w:rsidRPr="00D13B67" w:rsidRDefault="00CD24EB" w:rsidP="0080241A">
      <w:pPr>
        <w:rPr>
          <w:rFonts w:ascii="Segoe UI" w:hAnsi="Segoe UI"/>
          <w:sz w:val="18"/>
          <w:szCs w:val="18"/>
        </w:rPr>
      </w:pPr>
      <w:r w:rsidRPr="00D13B67">
        <w:t>Activities </w:t>
      </w:r>
    </w:p>
    <w:p w14:paraId="1AF2AB24" w14:textId="77777777" w:rsidR="00CD24EB" w:rsidRPr="00D13B67" w:rsidRDefault="00CD24EB" w:rsidP="00CD24EB">
      <w:pPr>
        <w:rPr>
          <w:rFonts w:ascii="Segoe UI" w:hAnsi="Segoe UI"/>
          <w:sz w:val="18"/>
          <w:szCs w:val="18"/>
        </w:rPr>
      </w:pPr>
      <w:r w:rsidRPr="00D13B67">
        <w:t>Any of the following activities may be used based on previous responses, examples highlighted, or personal experience shared.</w:t>
      </w:r>
      <w:r w:rsidRPr="00D13B67">
        <w:rPr>
          <w:rFonts w:ascii="Segoe UI" w:hAnsi="Segoe UI"/>
          <w:color w:val="666666"/>
          <w:sz w:val="18"/>
          <w:szCs w:val="18"/>
          <w:shd w:val="clear" w:color="auto" w:fill="FFFFFF"/>
        </w:rPr>
        <w:t> </w:t>
      </w:r>
      <w:r w:rsidRPr="00D13B67">
        <w:t> </w:t>
      </w:r>
    </w:p>
    <w:p w14:paraId="6A9C3CF2" w14:textId="77777777" w:rsidR="00CD24EB" w:rsidRPr="00D13B67" w:rsidRDefault="00CD24EB" w:rsidP="0080241A">
      <w:pPr>
        <w:rPr>
          <w:rFonts w:ascii="Segoe UI" w:hAnsi="Segoe UI"/>
          <w:sz w:val="18"/>
          <w:szCs w:val="18"/>
        </w:rPr>
      </w:pPr>
      <w:r w:rsidRPr="00D13B67">
        <w:t>Users/Stakeholders </w:t>
      </w:r>
    </w:p>
    <w:p w14:paraId="06DB0AF3" w14:textId="77777777" w:rsidR="00CD24EB" w:rsidRPr="00D13B67" w:rsidRDefault="00CD24EB" w:rsidP="00CD24EB">
      <w:pPr>
        <w:rPr>
          <w:rFonts w:ascii="Segoe UI" w:hAnsi="Segoe UI"/>
          <w:sz w:val="18"/>
          <w:szCs w:val="18"/>
        </w:rPr>
      </w:pPr>
      <w:r w:rsidRPr="00D13B67">
        <w:t>This activity is useful to focus on who. For example, if a student says they have difficulties with library resources, we can consider the stakeholders to narrow down a solution.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5"/>
        <w:gridCol w:w="1254"/>
        <w:gridCol w:w="1445"/>
        <w:gridCol w:w="4250"/>
      </w:tblGrid>
      <w:tr w:rsidR="00CD24EB" w:rsidRPr="00D13B67" w14:paraId="24D3E03C" w14:textId="77777777">
        <w:trPr>
          <w:trHeight w:val="300"/>
        </w:trPr>
        <w:tc>
          <w:tcPr>
            <w:tcW w:w="2700" w:type="dxa"/>
            <w:tcBorders>
              <w:top w:val="single" w:sz="6" w:space="0" w:color="auto"/>
              <w:left w:val="single" w:sz="6" w:space="0" w:color="auto"/>
              <w:bottom w:val="single" w:sz="6" w:space="0" w:color="auto"/>
              <w:right w:val="single" w:sz="6" w:space="0" w:color="auto"/>
            </w:tcBorders>
            <w:hideMark/>
          </w:tcPr>
          <w:p w14:paraId="1C3FC97F" w14:textId="77777777" w:rsidR="00CD24EB" w:rsidRPr="00D13B67" w:rsidRDefault="00CD24EB" w:rsidP="0080241A">
            <w:r w:rsidRPr="00D13B67">
              <w:t>Stakeholder </w:t>
            </w:r>
          </w:p>
        </w:tc>
        <w:tc>
          <w:tcPr>
            <w:tcW w:w="1365" w:type="dxa"/>
            <w:tcBorders>
              <w:top w:val="single" w:sz="6" w:space="0" w:color="auto"/>
              <w:left w:val="single" w:sz="6" w:space="0" w:color="auto"/>
              <w:bottom w:val="single" w:sz="6" w:space="0" w:color="auto"/>
              <w:right w:val="single" w:sz="6" w:space="0" w:color="auto"/>
            </w:tcBorders>
            <w:hideMark/>
          </w:tcPr>
          <w:p w14:paraId="5621CFF9" w14:textId="77777777" w:rsidR="00CD24EB" w:rsidRPr="00D13B67" w:rsidRDefault="00CD24EB" w:rsidP="0080241A">
            <w:r w:rsidRPr="00D13B67">
              <w:t>Interest </w:t>
            </w:r>
          </w:p>
        </w:tc>
        <w:tc>
          <w:tcPr>
            <w:tcW w:w="1560" w:type="dxa"/>
            <w:tcBorders>
              <w:top w:val="single" w:sz="6" w:space="0" w:color="auto"/>
              <w:left w:val="single" w:sz="6" w:space="0" w:color="auto"/>
              <w:bottom w:val="single" w:sz="6" w:space="0" w:color="auto"/>
              <w:right w:val="single" w:sz="6" w:space="0" w:color="auto"/>
            </w:tcBorders>
            <w:hideMark/>
          </w:tcPr>
          <w:p w14:paraId="6A345E31" w14:textId="77777777" w:rsidR="00CD24EB" w:rsidRPr="00D13B67" w:rsidRDefault="00CD24EB" w:rsidP="0080241A">
            <w:r w:rsidRPr="00D13B67">
              <w:t>Influence </w:t>
            </w:r>
          </w:p>
        </w:tc>
        <w:tc>
          <w:tcPr>
            <w:tcW w:w="5160" w:type="dxa"/>
            <w:tcBorders>
              <w:top w:val="single" w:sz="6" w:space="0" w:color="auto"/>
              <w:left w:val="single" w:sz="6" w:space="0" w:color="auto"/>
              <w:bottom w:val="single" w:sz="6" w:space="0" w:color="auto"/>
              <w:right w:val="single" w:sz="6" w:space="0" w:color="auto"/>
            </w:tcBorders>
            <w:hideMark/>
          </w:tcPr>
          <w:p w14:paraId="760E7CBA" w14:textId="77777777" w:rsidR="00CD24EB" w:rsidRPr="00D13B67" w:rsidRDefault="00CD24EB" w:rsidP="0080241A">
            <w:r w:rsidRPr="00D13B67">
              <w:t>Role and concerns </w:t>
            </w:r>
          </w:p>
        </w:tc>
      </w:tr>
      <w:tr w:rsidR="00CD24EB" w:rsidRPr="00D13B67" w14:paraId="16633B17" w14:textId="77777777">
        <w:trPr>
          <w:trHeight w:val="300"/>
        </w:trPr>
        <w:tc>
          <w:tcPr>
            <w:tcW w:w="2700" w:type="dxa"/>
            <w:tcBorders>
              <w:top w:val="single" w:sz="6" w:space="0" w:color="auto"/>
              <w:left w:val="single" w:sz="6" w:space="0" w:color="auto"/>
              <w:bottom w:val="single" w:sz="6" w:space="0" w:color="auto"/>
              <w:right w:val="single" w:sz="6" w:space="0" w:color="auto"/>
            </w:tcBorders>
            <w:hideMark/>
          </w:tcPr>
          <w:p w14:paraId="6F4E3097" w14:textId="77777777" w:rsidR="00CD24EB" w:rsidRPr="00D13B67" w:rsidRDefault="00CD24EB" w:rsidP="0080241A">
            <w:r w:rsidRPr="00D13B67">
              <w:t>Student </w:t>
            </w:r>
          </w:p>
        </w:tc>
        <w:tc>
          <w:tcPr>
            <w:tcW w:w="1365" w:type="dxa"/>
            <w:tcBorders>
              <w:top w:val="single" w:sz="6" w:space="0" w:color="auto"/>
              <w:left w:val="single" w:sz="6" w:space="0" w:color="auto"/>
              <w:bottom w:val="single" w:sz="6" w:space="0" w:color="auto"/>
              <w:right w:val="single" w:sz="6" w:space="0" w:color="auto"/>
            </w:tcBorders>
            <w:hideMark/>
          </w:tcPr>
          <w:p w14:paraId="25AB060C" w14:textId="77777777" w:rsidR="00CD24EB" w:rsidRPr="00D13B67" w:rsidRDefault="00CD24EB" w:rsidP="0080241A">
            <w:r w:rsidRPr="00D13B67">
              <w:t>High </w:t>
            </w:r>
          </w:p>
        </w:tc>
        <w:tc>
          <w:tcPr>
            <w:tcW w:w="1560" w:type="dxa"/>
            <w:tcBorders>
              <w:top w:val="single" w:sz="6" w:space="0" w:color="auto"/>
              <w:left w:val="single" w:sz="6" w:space="0" w:color="auto"/>
              <w:bottom w:val="single" w:sz="6" w:space="0" w:color="auto"/>
              <w:right w:val="single" w:sz="6" w:space="0" w:color="auto"/>
            </w:tcBorders>
            <w:hideMark/>
          </w:tcPr>
          <w:p w14:paraId="2D13B122" w14:textId="77777777" w:rsidR="00CD24EB" w:rsidRPr="00D13B67" w:rsidRDefault="00CD24EB" w:rsidP="0080241A">
            <w:r w:rsidRPr="00D13B67">
              <w:t>Low </w:t>
            </w:r>
          </w:p>
        </w:tc>
        <w:tc>
          <w:tcPr>
            <w:tcW w:w="5160" w:type="dxa"/>
            <w:tcBorders>
              <w:top w:val="single" w:sz="6" w:space="0" w:color="auto"/>
              <w:left w:val="single" w:sz="6" w:space="0" w:color="auto"/>
              <w:bottom w:val="single" w:sz="6" w:space="0" w:color="auto"/>
              <w:right w:val="single" w:sz="6" w:space="0" w:color="auto"/>
            </w:tcBorders>
            <w:hideMark/>
          </w:tcPr>
          <w:p w14:paraId="677F36B9" w14:textId="77777777" w:rsidR="00CD24EB" w:rsidRPr="00D13B67" w:rsidRDefault="00CD24EB" w:rsidP="0080241A">
            <w:r w:rsidRPr="00D13B67">
              <w:t> </w:t>
            </w:r>
          </w:p>
        </w:tc>
      </w:tr>
      <w:tr w:rsidR="00CD24EB" w:rsidRPr="00D13B67" w14:paraId="252A9C78" w14:textId="77777777">
        <w:trPr>
          <w:trHeight w:val="1695"/>
        </w:trPr>
        <w:tc>
          <w:tcPr>
            <w:tcW w:w="2700" w:type="dxa"/>
            <w:tcBorders>
              <w:top w:val="single" w:sz="6" w:space="0" w:color="auto"/>
              <w:left w:val="single" w:sz="6" w:space="0" w:color="auto"/>
              <w:bottom w:val="single" w:sz="6" w:space="0" w:color="auto"/>
              <w:right w:val="single" w:sz="6" w:space="0" w:color="auto"/>
            </w:tcBorders>
            <w:hideMark/>
          </w:tcPr>
          <w:p w14:paraId="77DE99B3" w14:textId="77777777" w:rsidR="00CD24EB" w:rsidRPr="00D13B67" w:rsidRDefault="00CD24EB" w:rsidP="0080241A">
            <w:r w:rsidRPr="00D13B67">
              <w:t> </w:t>
            </w:r>
          </w:p>
        </w:tc>
        <w:tc>
          <w:tcPr>
            <w:tcW w:w="1365" w:type="dxa"/>
            <w:tcBorders>
              <w:top w:val="single" w:sz="6" w:space="0" w:color="auto"/>
              <w:left w:val="single" w:sz="6" w:space="0" w:color="auto"/>
              <w:bottom w:val="single" w:sz="6" w:space="0" w:color="auto"/>
              <w:right w:val="single" w:sz="6" w:space="0" w:color="auto"/>
            </w:tcBorders>
            <w:hideMark/>
          </w:tcPr>
          <w:p w14:paraId="31BB58A5" w14:textId="77777777" w:rsidR="00CD24EB" w:rsidRPr="00D13B67" w:rsidRDefault="00CD24EB" w:rsidP="0080241A">
            <w:r w:rsidRPr="00D13B67">
              <w:t> </w:t>
            </w:r>
          </w:p>
        </w:tc>
        <w:tc>
          <w:tcPr>
            <w:tcW w:w="1560" w:type="dxa"/>
            <w:tcBorders>
              <w:top w:val="single" w:sz="6" w:space="0" w:color="auto"/>
              <w:left w:val="single" w:sz="6" w:space="0" w:color="auto"/>
              <w:bottom w:val="single" w:sz="6" w:space="0" w:color="auto"/>
              <w:right w:val="single" w:sz="6" w:space="0" w:color="auto"/>
            </w:tcBorders>
            <w:hideMark/>
          </w:tcPr>
          <w:p w14:paraId="7B448C14" w14:textId="77777777" w:rsidR="00CD24EB" w:rsidRPr="00D13B67" w:rsidRDefault="00CD24EB" w:rsidP="0080241A">
            <w:r w:rsidRPr="00D13B67">
              <w:t> </w:t>
            </w:r>
          </w:p>
        </w:tc>
        <w:tc>
          <w:tcPr>
            <w:tcW w:w="5160" w:type="dxa"/>
            <w:tcBorders>
              <w:top w:val="single" w:sz="6" w:space="0" w:color="auto"/>
              <w:left w:val="single" w:sz="6" w:space="0" w:color="auto"/>
              <w:bottom w:val="single" w:sz="6" w:space="0" w:color="auto"/>
              <w:right w:val="single" w:sz="6" w:space="0" w:color="auto"/>
            </w:tcBorders>
            <w:hideMark/>
          </w:tcPr>
          <w:p w14:paraId="0FBEC8D0" w14:textId="77777777" w:rsidR="00CD24EB" w:rsidRPr="00D13B67" w:rsidRDefault="00CD24EB" w:rsidP="0080241A">
            <w:r w:rsidRPr="00D13B67">
              <w:t> </w:t>
            </w:r>
          </w:p>
        </w:tc>
      </w:tr>
      <w:tr w:rsidR="00CD24EB" w:rsidRPr="00D13B67" w14:paraId="24377A66" w14:textId="77777777">
        <w:trPr>
          <w:trHeight w:val="1695"/>
        </w:trPr>
        <w:tc>
          <w:tcPr>
            <w:tcW w:w="2700" w:type="dxa"/>
            <w:tcBorders>
              <w:top w:val="single" w:sz="6" w:space="0" w:color="auto"/>
              <w:left w:val="single" w:sz="6" w:space="0" w:color="auto"/>
              <w:bottom w:val="single" w:sz="6" w:space="0" w:color="auto"/>
              <w:right w:val="single" w:sz="6" w:space="0" w:color="auto"/>
            </w:tcBorders>
            <w:hideMark/>
          </w:tcPr>
          <w:p w14:paraId="6EC17751" w14:textId="77777777" w:rsidR="00CD24EB" w:rsidRPr="00D13B67" w:rsidRDefault="00CD24EB" w:rsidP="0080241A">
            <w:r w:rsidRPr="00D13B67">
              <w:t> </w:t>
            </w:r>
          </w:p>
        </w:tc>
        <w:tc>
          <w:tcPr>
            <w:tcW w:w="1365" w:type="dxa"/>
            <w:tcBorders>
              <w:top w:val="single" w:sz="6" w:space="0" w:color="auto"/>
              <w:left w:val="single" w:sz="6" w:space="0" w:color="auto"/>
              <w:bottom w:val="single" w:sz="6" w:space="0" w:color="auto"/>
              <w:right w:val="single" w:sz="6" w:space="0" w:color="auto"/>
            </w:tcBorders>
            <w:hideMark/>
          </w:tcPr>
          <w:p w14:paraId="0F0B4275" w14:textId="77777777" w:rsidR="00CD24EB" w:rsidRPr="00D13B67" w:rsidRDefault="00CD24EB" w:rsidP="0080241A">
            <w:r w:rsidRPr="00D13B67">
              <w:t> </w:t>
            </w:r>
          </w:p>
        </w:tc>
        <w:tc>
          <w:tcPr>
            <w:tcW w:w="1560" w:type="dxa"/>
            <w:tcBorders>
              <w:top w:val="single" w:sz="6" w:space="0" w:color="auto"/>
              <w:left w:val="single" w:sz="6" w:space="0" w:color="auto"/>
              <w:bottom w:val="single" w:sz="6" w:space="0" w:color="auto"/>
              <w:right w:val="single" w:sz="6" w:space="0" w:color="auto"/>
            </w:tcBorders>
            <w:hideMark/>
          </w:tcPr>
          <w:p w14:paraId="3E0148DD" w14:textId="77777777" w:rsidR="00CD24EB" w:rsidRPr="00D13B67" w:rsidRDefault="00CD24EB" w:rsidP="0080241A">
            <w:r w:rsidRPr="00D13B67">
              <w:t> </w:t>
            </w:r>
          </w:p>
        </w:tc>
        <w:tc>
          <w:tcPr>
            <w:tcW w:w="5160" w:type="dxa"/>
            <w:tcBorders>
              <w:top w:val="single" w:sz="6" w:space="0" w:color="auto"/>
              <w:left w:val="single" w:sz="6" w:space="0" w:color="auto"/>
              <w:bottom w:val="single" w:sz="6" w:space="0" w:color="auto"/>
              <w:right w:val="single" w:sz="6" w:space="0" w:color="auto"/>
            </w:tcBorders>
            <w:hideMark/>
          </w:tcPr>
          <w:p w14:paraId="52550F44" w14:textId="77777777" w:rsidR="00CD24EB" w:rsidRPr="00D13B67" w:rsidRDefault="00CD24EB" w:rsidP="0080241A">
            <w:r w:rsidRPr="00D13B67">
              <w:t> </w:t>
            </w:r>
          </w:p>
        </w:tc>
      </w:tr>
      <w:tr w:rsidR="00CD24EB" w:rsidRPr="00D13B67" w14:paraId="51E6B282" w14:textId="77777777">
        <w:trPr>
          <w:trHeight w:val="1695"/>
        </w:trPr>
        <w:tc>
          <w:tcPr>
            <w:tcW w:w="2700" w:type="dxa"/>
            <w:tcBorders>
              <w:top w:val="single" w:sz="6" w:space="0" w:color="auto"/>
              <w:left w:val="single" w:sz="6" w:space="0" w:color="auto"/>
              <w:bottom w:val="single" w:sz="6" w:space="0" w:color="auto"/>
              <w:right w:val="single" w:sz="6" w:space="0" w:color="auto"/>
            </w:tcBorders>
            <w:hideMark/>
          </w:tcPr>
          <w:p w14:paraId="7F5F5499" w14:textId="77777777" w:rsidR="00CD24EB" w:rsidRPr="00D13B67" w:rsidRDefault="00CD24EB" w:rsidP="0080241A">
            <w:r w:rsidRPr="00D13B67">
              <w:t> </w:t>
            </w:r>
          </w:p>
        </w:tc>
        <w:tc>
          <w:tcPr>
            <w:tcW w:w="1365" w:type="dxa"/>
            <w:tcBorders>
              <w:top w:val="single" w:sz="6" w:space="0" w:color="auto"/>
              <w:left w:val="single" w:sz="6" w:space="0" w:color="auto"/>
              <w:bottom w:val="single" w:sz="6" w:space="0" w:color="auto"/>
              <w:right w:val="single" w:sz="6" w:space="0" w:color="auto"/>
            </w:tcBorders>
            <w:hideMark/>
          </w:tcPr>
          <w:p w14:paraId="073D5E9B" w14:textId="77777777" w:rsidR="00CD24EB" w:rsidRPr="00D13B67" w:rsidRDefault="00CD24EB" w:rsidP="0080241A">
            <w:r w:rsidRPr="00D13B67">
              <w:t> </w:t>
            </w:r>
          </w:p>
        </w:tc>
        <w:tc>
          <w:tcPr>
            <w:tcW w:w="1560" w:type="dxa"/>
            <w:tcBorders>
              <w:top w:val="single" w:sz="6" w:space="0" w:color="auto"/>
              <w:left w:val="single" w:sz="6" w:space="0" w:color="auto"/>
              <w:bottom w:val="single" w:sz="6" w:space="0" w:color="auto"/>
              <w:right w:val="single" w:sz="6" w:space="0" w:color="auto"/>
            </w:tcBorders>
            <w:hideMark/>
          </w:tcPr>
          <w:p w14:paraId="58631EDF" w14:textId="77777777" w:rsidR="00CD24EB" w:rsidRPr="00D13B67" w:rsidRDefault="00CD24EB" w:rsidP="0080241A">
            <w:r w:rsidRPr="00D13B67">
              <w:t> </w:t>
            </w:r>
          </w:p>
        </w:tc>
        <w:tc>
          <w:tcPr>
            <w:tcW w:w="5160" w:type="dxa"/>
            <w:tcBorders>
              <w:top w:val="single" w:sz="6" w:space="0" w:color="auto"/>
              <w:left w:val="single" w:sz="6" w:space="0" w:color="auto"/>
              <w:bottom w:val="single" w:sz="6" w:space="0" w:color="auto"/>
              <w:right w:val="single" w:sz="6" w:space="0" w:color="auto"/>
            </w:tcBorders>
            <w:hideMark/>
          </w:tcPr>
          <w:p w14:paraId="6DA4448C" w14:textId="77777777" w:rsidR="00CD24EB" w:rsidRPr="00D13B67" w:rsidRDefault="00CD24EB" w:rsidP="0080241A">
            <w:r w:rsidRPr="00D13B67">
              <w:t> </w:t>
            </w:r>
          </w:p>
        </w:tc>
      </w:tr>
    </w:tbl>
    <w:p w14:paraId="1A5B049D" w14:textId="77777777" w:rsidR="00CD24EB" w:rsidRPr="00D13B67" w:rsidRDefault="00CD24EB" w:rsidP="0080241A">
      <w:pPr>
        <w:rPr>
          <w:rFonts w:ascii="Segoe UI" w:hAnsi="Segoe UI"/>
          <w:sz w:val="18"/>
          <w:szCs w:val="18"/>
        </w:rPr>
      </w:pPr>
      <w:r w:rsidRPr="00D13B67">
        <w:t>Stakeholder map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3631"/>
        <w:gridCol w:w="4295"/>
      </w:tblGrid>
      <w:tr w:rsidR="00CD24EB" w:rsidRPr="00D13B67" w14:paraId="2E5CA3E2" w14:textId="77777777">
        <w:trPr>
          <w:trHeight w:val="2715"/>
        </w:trPr>
        <w:tc>
          <w:tcPr>
            <w:tcW w:w="1515" w:type="dxa"/>
            <w:vMerge w:val="restart"/>
            <w:tcBorders>
              <w:top w:val="single" w:sz="6" w:space="0" w:color="auto"/>
              <w:left w:val="single" w:sz="6" w:space="0" w:color="auto"/>
              <w:bottom w:val="single" w:sz="6" w:space="0" w:color="auto"/>
              <w:right w:val="single" w:sz="6" w:space="0" w:color="auto"/>
            </w:tcBorders>
            <w:hideMark/>
          </w:tcPr>
          <w:p w14:paraId="30CCB747" w14:textId="77777777" w:rsidR="00CD24EB" w:rsidRPr="00D13B67" w:rsidRDefault="00CD24EB" w:rsidP="0080241A">
            <w:r w:rsidRPr="00D13B67">
              <w:t>Influence ^ </w:t>
            </w:r>
          </w:p>
        </w:tc>
        <w:tc>
          <w:tcPr>
            <w:tcW w:w="4245" w:type="dxa"/>
            <w:tcBorders>
              <w:top w:val="single" w:sz="6" w:space="0" w:color="auto"/>
              <w:left w:val="single" w:sz="6" w:space="0" w:color="auto"/>
              <w:bottom w:val="single" w:sz="6" w:space="0" w:color="auto"/>
              <w:right w:val="single" w:sz="6" w:space="0" w:color="auto"/>
            </w:tcBorders>
            <w:hideMark/>
          </w:tcPr>
          <w:p w14:paraId="389FFA22" w14:textId="77777777" w:rsidR="00CD24EB" w:rsidRPr="00D13B67" w:rsidRDefault="00CD24EB" w:rsidP="0080241A">
            <w:r w:rsidRPr="00D13B67">
              <w:t>Meet needs </w:t>
            </w:r>
          </w:p>
        </w:tc>
        <w:tc>
          <w:tcPr>
            <w:tcW w:w="5010" w:type="dxa"/>
            <w:tcBorders>
              <w:top w:val="single" w:sz="6" w:space="0" w:color="auto"/>
              <w:left w:val="single" w:sz="6" w:space="0" w:color="auto"/>
              <w:bottom w:val="single" w:sz="6" w:space="0" w:color="auto"/>
              <w:right w:val="single" w:sz="6" w:space="0" w:color="auto"/>
            </w:tcBorders>
            <w:hideMark/>
          </w:tcPr>
          <w:p w14:paraId="6C4BADEF" w14:textId="77777777" w:rsidR="00CD24EB" w:rsidRPr="00D13B67" w:rsidRDefault="00CD24EB" w:rsidP="0080241A">
            <w:r w:rsidRPr="00D13B67">
              <w:t>Manage closely </w:t>
            </w:r>
          </w:p>
        </w:tc>
      </w:tr>
      <w:tr w:rsidR="00CD24EB" w:rsidRPr="00D13B67" w14:paraId="128B435C" w14:textId="77777777">
        <w:trPr>
          <w:trHeight w:val="271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307EAE5" w14:textId="77777777" w:rsidR="00CD24EB" w:rsidRPr="00D13B67" w:rsidRDefault="00CD24EB" w:rsidP="0080241A"/>
        </w:tc>
        <w:tc>
          <w:tcPr>
            <w:tcW w:w="4245" w:type="dxa"/>
            <w:tcBorders>
              <w:top w:val="single" w:sz="6" w:space="0" w:color="auto"/>
              <w:left w:val="single" w:sz="6" w:space="0" w:color="auto"/>
              <w:bottom w:val="single" w:sz="6" w:space="0" w:color="auto"/>
              <w:right w:val="single" w:sz="6" w:space="0" w:color="auto"/>
            </w:tcBorders>
            <w:hideMark/>
          </w:tcPr>
          <w:p w14:paraId="51CB2C35" w14:textId="77777777" w:rsidR="00CD24EB" w:rsidRPr="00D13B67" w:rsidRDefault="00CD24EB" w:rsidP="0080241A">
            <w:r w:rsidRPr="00D13B67">
              <w:t>Keep into account </w:t>
            </w:r>
          </w:p>
        </w:tc>
        <w:tc>
          <w:tcPr>
            <w:tcW w:w="5010" w:type="dxa"/>
            <w:tcBorders>
              <w:top w:val="single" w:sz="6" w:space="0" w:color="auto"/>
              <w:left w:val="single" w:sz="6" w:space="0" w:color="auto"/>
              <w:bottom w:val="single" w:sz="6" w:space="0" w:color="auto"/>
              <w:right w:val="single" w:sz="6" w:space="0" w:color="auto"/>
            </w:tcBorders>
            <w:hideMark/>
          </w:tcPr>
          <w:p w14:paraId="7A6BBEFF" w14:textId="77777777" w:rsidR="00CD24EB" w:rsidRPr="00D13B67" w:rsidRDefault="00CD24EB" w:rsidP="0080241A">
            <w:r w:rsidRPr="00D13B67">
              <w:t>Keep informed </w:t>
            </w:r>
          </w:p>
        </w:tc>
      </w:tr>
      <w:tr w:rsidR="00CD24EB" w:rsidRPr="00D13B67" w14:paraId="4269092C" w14:textId="77777777">
        <w:trPr>
          <w:trHeight w:val="300"/>
        </w:trPr>
        <w:tc>
          <w:tcPr>
            <w:tcW w:w="10800" w:type="dxa"/>
            <w:gridSpan w:val="3"/>
            <w:tcBorders>
              <w:top w:val="single" w:sz="6" w:space="0" w:color="auto"/>
              <w:left w:val="single" w:sz="6" w:space="0" w:color="auto"/>
              <w:bottom w:val="single" w:sz="6" w:space="0" w:color="auto"/>
              <w:right w:val="single" w:sz="6" w:space="0" w:color="auto"/>
            </w:tcBorders>
            <w:hideMark/>
          </w:tcPr>
          <w:p w14:paraId="03A3EA88" w14:textId="77777777" w:rsidR="00CD24EB" w:rsidRPr="00D13B67" w:rsidRDefault="00CD24EB" w:rsidP="0080241A">
            <w:r w:rsidRPr="00D13B67">
              <w:t>Interest &gt; </w:t>
            </w:r>
          </w:p>
        </w:tc>
      </w:tr>
    </w:tbl>
    <w:p w14:paraId="5291A570" w14:textId="77777777" w:rsidR="00CD24EB" w:rsidRPr="00D13B67" w:rsidRDefault="00CD24EB" w:rsidP="0080241A">
      <w:pPr>
        <w:rPr>
          <w:rFonts w:ascii="Segoe UI" w:hAnsi="Segoe UI"/>
          <w:sz w:val="18"/>
          <w:szCs w:val="18"/>
        </w:rPr>
      </w:pPr>
      <w:r w:rsidRPr="00D13B67">
        <w:t> </w:t>
      </w:r>
    </w:p>
    <w:p w14:paraId="3884AC54" w14:textId="77777777" w:rsidR="00CD24EB" w:rsidRPr="00D13B67" w:rsidRDefault="00CD24EB" w:rsidP="0080241A">
      <w:pPr>
        <w:rPr>
          <w:rFonts w:ascii="Segoe UI" w:hAnsi="Segoe UI"/>
          <w:sz w:val="18"/>
          <w:szCs w:val="18"/>
        </w:rPr>
      </w:pPr>
      <w:r w:rsidRPr="00D13B67">
        <w:t>Needs List </w:t>
      </w:r>
    </w:p>
    <w:p w14:paraId="54D3E8E8" w14:textId="77777777" w:rsidR="00CD24EB" w:rsidRPr="00D13B67" w:rsidRDefault="00CD24EB" w:rsidP="00CD24EB">
      <w:pPr>
        <w:rPr>
          <w:rFonts w:ascii="Segoe UI" w:hAnsi="Segoe UI"/>
          <w:sz w:val="18"/>
          <w:szCs w:val="18"/>
        </w:rPr>
      </w:pPr>
      <w:r w:rsidRPr="00D13B67">
        <w:t>A needs list can be used to center one’s own experience or empathize with another’s. For example, if a student were having trouble identifying what would be of greatest benefit to them, this tool could focus efforts.  </w:t>
      </w:r>
    </w:p>
    <w:p w14:paraId="609AF6AE" w14:textId="77777777" w:rsidR="00CD24EB" w:rsidRPr="00D13B67" w:rsidRDefault="00CD24EB" w:rsidP="0080241A">
      <w:pPr>
        <w:rPr>
          <w:sz w:val="18"/>
          <w:szCs w:val="18"/>
        </w:rPr>
      </w:pPr>
      <w:r w:rsidRPr="00D13B67">
        <w:t>I am [</w:t>
      </w:r>
      <w:r w:rsidRPr="00D13B67">
        <w:rPr>
          <w:b/>
        </w:rPr>
        <w:t>role</w:t>
      </w:r>
      <w:r w:rsidRPr="00D13B67">
        <w:t>]. I need [</w:t>
      </w:r>
      <w:r w:rsidRPr="00D13B67">
        <w:rPr>
          <w:b/>
        </w:rPr>
        <w:t>description of needs</w:t>
      </w:r>
      <w:r w:rsidRPr="00D13B67">
        <w:t>]. So that [</w:t>
      </w:r>
      <w:r w:rsidRPr="00D13B67">
        <w:rPr>
          <w:b/>
        </w:rPr>
        <w:t>reason</w:t>
      </w:r>
      <w:r w:rsidRPr="00D13B67">
        <w:t>]. </w:t>
      </w:r>
    </w:p>
    <w:p w14:paraId="33F6485B" w14:textId="77777777" w:rsidR="00CD24EB" w:rsidRPr="00D13B67" w:rsidRDefault="00CD24EB" w:rsidP="0080241A">
      <w:pPr>
        <w:rPr>
          <w:rFonts w:ascii="Segoe UI" w:hAnsi="Segoe UI"/>
          <w:sz w:val="18"/>
          <w:szCs w:val="18"/>
        </w:rPr>
      </w:pPr>
      <w:r w:rsidRPr="00D13B67">
        <w:t>Empathy map(s) </w:t>
      </w:r>
    </w:p>
    <w:p w14:paraId="0A42880E" w14:textId="77777777" w:rsidR="00CD24EB" w:rsidRPr="00D13B67" w:rsidRDefault="00CD24EB" w:rsidP="00CD24EB">
      <w:pPr>
        <w:rPr>
          <w:rFonts w:ascii="Segoe UI" w:hAnsi="Segoe UI"/>
          <w:sz w:val="18"/>
          <w:szCs w:val="18"/>
        </w:rPr>
      </w:pPr>
      <w:r w:rsidRPr="00D13B67">
        <w:t>An </w:t>
      </w:r>
      <w:hyperlink r:id="rId258" w:tgtFrame="_blank" w:history="1">
        <w:r w:rsidRPr="00D13B67">
          <w:rPr>
            <w:color w:val="0000FF"/>
            <w:u w:val="single"/>
          </w:rPr>
          <w:t>empathy map</w:t>
        </w:r>
      </w:hyperlink>
      <w:r w:rsidRPr="00D13B67">
        <w:t> is useful to consider other viewpoints or experiences. An empathy map can also be used to capture one’s own perspective. An empathy map would be useful to document a student’s viewpoint when, for example, encountering a reading that is not compatible with their assistive technology.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3"/>
        <w:gridCol w:w="512"/>
        <w:gridCol w:w="525"/>
        <w:gridCol w:w="4174"/>
      </w:tblGrid>
      <w:tr w:rsidR="00CD24EB" w:rsidRPr="00D13B67" w14:paraId="561B8607" w14:textId="77777777">
        <w:trPr>
          <w:trHeight w:val="300"/>
        </w:trPr>
        <w:tc>
          <w:tcPr>
            <w:tcW w:w="5340" w:type="dxa"/>
            <w:gridSpan w:val="2"/>
            <w:tcBorders>
              <w:top w:val="single" w:sz="6" w:space="0" w:color="auto"/>
              <w:left w:val="single" w:sz="6" w:space="0" w:color="auto"/>
              <w:bottom w:val="single" w:sz="6" w:space="0" w:color="auto"/>
              <w:right w:val="single" w:sz="6" w:space="0" w:color="auto"/>
            </w:tcBorders>
            <w:vAlign w:val="center"/>
            <w:hideMark/>
          </w:tcPr>
          <w:p w14:paraId="356A2F05" w14:textId="77777777" w:rsidR="00CD24EB" w:rsidRPr="00D13B67" w:rsidRDefault="00CD24EB" w:rsidP="0080241A">
            <w:r w:rsidRPr="00D13B67">
              <w:t>Says </w:t>
            </w:r>
          </w:p>
        </w:tc>
        <w:tc>
          <w:tcPr>
            <w:tcW w:w="5385" w:type="dxa"/>
            <w:gridSpan w:val="2"/>
            <w:tcBorders>
              <w:top w:val="single" w:sz="6" w:space="0" w:color="auto"/>
              <w:left w:val="single" w:sz="6" w:space="0" w:color="auto"/>
              <w:bottom w:val="single" w:sz="6" w:space="0" w:color="auto"/>
              <w:right w:val="single" w:sz="6" w:space="0" w:color="auto"/>
            </w:tcBorders>
            <w:vAlign w:val="center"/>
            <w:hideMark/>
          </w:tcPr>
          <w:p w14:paraId="459A938E" w14:textId="77777777" w:rsidR="00CD24EB" w:rsidRPr="00D13B67" w:rsidRDefault="00CD24EB" w:rsidP="0080241A">
            <w:r w:rsidRPr="00D13B67">
              <w:t>Thinks </w:t>
            </w:r>
          </w:p>
        </w:tc>
      </w:tr>
      <w:tr w:rsidR="00CD24EB" w:rsidRPr="00D13B67" w14:paraId="28BA7EC0" w14:textId="77777777">
        <w:trPr>
          <w:trHeight w:val="300"/>
        </w:trPr>
        <w:tc>
          <w:tcPr>
            <w:tcW w:w="4785" w:type="dxa"/>
            <w:tcBorders>
              <w:top w:val="single" w:sz="6" w:space="0" w:color="auto"/>
              <w:left w:val="single" w:sz="6" w:space="0" w:color="auto"/>
              <w:bottom w:val="single" w:sz="6" w:space="0" w:color="auto"/>
              <w:right w:val="single" w:sz="6" w:space="0" w:color="auto"/>
            </w:tcBorders>
            <w:vAlign w:val="center"/>
            <w:hideMark/>
          </w:tcPr>
          <w:p w14:paraId="78F19368" w14:textId="77777777" w:rsidR="00CD24EB" w:rsidRPr="00D13B67" w:rsidRDefault="00CD24EB" w:rsidP="0080241A">
            <w:r w:rsidRPr="00D13B67">
              <w:t> </w:t>
            </w:r>
          </w:p>
        </w:tc>
        <w:tc>
          <w:tcPr>
            <w:tcW w:w="1125" w:type="dxa"/>
            <w:gridSpan w:val="2"/>
            <w:tcBorders>
              <w:top w:val="single" w:sz="6" w:space="0" w:color="auto"/>
              <w:left w:val="single" w:sz="6" w:space="0" w:color="auto"/>
              <w:bottom w:val="single" w:sz="6" w:space="0" w:color="auto"/>
              <w:right w:val="single" w:sz="6" w:space="0" w:color="auto"/>
            </w:tcBorders>
            <w:vAlign w:val="center"/>
            <w:hideMark/>
          </w:tcPr>
          <w:p w14:paraId="66B0E6F4" w14:textId="77777777" w:rsidR="00CD24EB" w:rsidRPr="00D13B67" w:rsidRDefault="00CD24EB" w:rsidP="0080241A">
            <w:r w:rsidRPr="00D13B67">
              <w:t>User </w:t>
            </w:r>
          </w:p>
        </w:tc>
        <w:tc>
          <w:tcPr>
            <w:tcW w:w="4815" w:type="dxa"/>
            <w:tcBorders>
              <w:top w:val="single" w:sz="6" w:space="0" w:color="auto"/>
              <w:left w:val="single" w:sz="6" w:space="0" w:color="auto"/>
              <w:bottom w:val="single" w:sz="6" w:space="0" w:color="auto"/>
              <w:right w:val="single" w:sz="6" w:space="0" w:color="auto"/>
            </w:tcBorders>
            <w:vAlign w:val="center"/>
            <w:hideMark/>
          </w:tcPr>
          <w:p w14:paraId="2B990751" w14:textId="77777777" w:rsidR="00CD24EB" w:rsidRPr="00D13B67" w:rsidRDefault="00CD24EB" w:rsidP="0080241A">
            <w:r w:rsidRPr="00D13B67">
              <w:t> </w:t>
            </w:r>
          </w:p>
        </w:tc>
      </w:tr>
      <w:tr w:rsidR="00CD24EB" w:rsidRPr="00D13B67" w14:paraId="39773B2D" w14:textId="77777777">
        <w:trPr>
          <w:trHeight w:val="300"/>
        </w:trPr>
        <w:tc>
          <w:tcPr>
            <w:tcW w:w="5340" w:type="dxa"/>
            <w:gridSpan w:val="2"/>
            <w:tcBorders>
              <w:top w:val="single" w:sz="6" w:space="0" w:color="auto"/>
              <w:left w:val="single" w:sz="6" w:space="0" w:color="auto"/>
              <w:bottom w:val="single" w:sz="6" w:space="0" w:color="auto"/>
              <w:right w:val="single" w:sz="6" w:space="0" w:color="auto"/>
            </w:tcBorders>
            <w:vAlign w:val="center"/>
            <w:hideMark/>
          </w:tcPr>
          <w:p w14:paraId="159D5ACD" w14:textId="77777777" w:rsidR="00CD24EB" w:rsidRPr="00D13B67" w:rsidRDefault="00CD24EB" w:rsidP="0080241A">
            <w:r w:rsidRPr="00D13B67">
              <w:t>Does </w:t>
            </w:r>
          </w:p>
        </w:tc>
        <w:tc>
          <w:tcPr>
            <w:tcW w:w="5385" w:type="dxa"/>
            <w:gridSpan w:val="2"/>
            <w:tcBorders>
              <w:top w:val="single" w:sz="6" w:space="0" w:color="auto"/>
              <w:left w:val="single" w:sz="6" w:space="0" w:color="auto"/>
              <w:bottom w:val="single" w:sz="6" w:space="0" w:color="auto"/>
              <w:right w:val="single" w:sz="6" w:space="0" w:color="auto"/>
            </w:tcBorders>
            <w:vAlign w:val="center"/>
            <w:hideMark/>
          </w:tcPr>
          <w:p w14:paraId="50B13626" w14:textId="77777777" w:rsidR="00CD24EB" w:rsidRPr="00D13B67" w:rsidRDefault="00CD24EB" w:rsidP="0080241A">
            <w:r w:rsidRPr="00D13B67">
              <w:t>Feels </w:t>
            </w:r>
          </w:p>
        </w:tc>
      </w:tr>
    </w:tbl>
    <w:p w14:paraId="2E26125A" w14:textId="77777777" w:rsidR="00CD24EB" w:rsidRPr="00D13B67" w:rsidRDefault="00CD24EB" w:rsidP="0080241A">
      <w:pPr>
        <w:rPr>
          <w:rFonts w:ascii="Segoe UI" w:hAnsi="Segoe UI"/>
          <w:sz w:val="18"/>
          <w:szCs w:val="18"/>
        </w:rPr>
      </w:pPr>
      <w:r w:rsidRPr="00D13B6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3"/>
        <w:gridCol w:w="3097"/>
        <w:gridCol w:w="3004"/>
      </w:tblGrid>
      <w:tr w:rsidR="00CD24EB" w:rsidRPr="00D13B67" w14:paraId="73E1D6DD" w14:textId="77777777">
        <w:trPr>
          <w:trHeight w:val="300"/>
        </w:trPr>
        <w:tc>
          <w:tcPr>
            <w:tcW w:w="3600" w:type="dxa"/>
            <w:tcBorders>
              <w:top w:val="single" w:sz="6" w:space="0" w:color="auto"/>
              <w:left w:val="single" w:sz="6" w:space="0" w:color="auto"/>
              <w:bottom w:val="single" w:sz="6" w:space="0" w:color="auto"/>
              <w:right w:val="single" w:sz="6" w:space="0" w:color="auto"/>
            </w:tcBorders>
            <w:hideMark/>
          </w:tcPr>
          <w:p w14:paraId="059ADAD8" w14:textId="77777777" w:rsidR="00CD24EB" w:rsidRPr="00D13B67" w:rsidRDefault="00CD24EB" w:rsidP="0080241A">
            <w:r w:rsidRPr="00D13B67">
              <w:t>Current situation </w:t>
            </w:r>
          </w:p>
        </w:tc>
        <w:tc>
          <w:tcPr>
            <w:tcW w:w="3600" w:type="dxa"/>
            <w:tcBorders>
              <w:top w:val="single" w:sz="6" w:space="0" w:color="auto"/>
              <w:left w:val="single" w:sz="6" w:space="0" w:color="auto"/>
              <w:bottom w:val="single" w:sz="6" w:space="0" w:color="auto"/>
              <w:right w:val="single" w:sz="6" w:space="0" w:color="auto"/>
            </w:tcBorders>
            <w:hideMark/>
          </w:tcPr>
          <w:p w14:paraId="20CA4346" w14:textId="77777777" w:rsidR="00CD24EB" w:rsidRPr="00D13B67" w:rsidRDefault="00CD24EB" w:rsidP="0080241A">
            <w:r w:rsidRPr="00D13B67">
              <w:t>Wishes </w:t>
            </w:r>
          </w:p>
        </w:tc>
        <w:tc>
          <w:tcPr>
            <w:tcW w:w="3600" w:type="dxa"/>
            <w:tcBorders>
              <w:top w:val="single" w:sz="6" w:space="0" w:color="auto"/>
              <w:left w:val="single" w:sz="6" w:space="0" w:color="auto"/>
              <w:bottom w:val="single" w:sz="6" w:space="0" w:color="auto"/>
              <w:right w:val="single" w:sz="6" w:space="0" w:color="auto"/>
            </w:tcBorders>
            <w:hideMark/>
          </w:tcPr>
          <w:p w14:paraId="0A838DC1" w14:textId="77777777" w:rsidR="00CD24EB" w:rsidRPr="00D13B67" w:rsidRDefault="00CD24EB" w:rsidP="0080241A">
            <w:r w:rsidRPr="00D13B67">
              <w:t>Goals </w:t>
            </w:r>
          </w:p>
        </w:tc>
      </w:tr>
      <w:tr w:rsidR="00CD24EB" w:rsidRPr="00D13B67" w14:paraId="760DF360" w14:textId="77777777">
        <w:trPr>
          <w:trHeight w:val="2835"/>
        </w:trPr>
        <w:tc>
          <w:tcPr>
            <w:tcW w:w="3600" w:type="dxa"/>
            <w:tcBorders>
              <w:top w:val="single" w:sz="6" w:space="0" w:color="auto"/>
              <w:left w:val="single" w:sz="6" w:space="0" w:color="auto"/>
              <w:bottom w:val="single" w:sz="6" w:space="0" w:color="auto"/>
              <w:right w:val="single" w:sz="6" w:space="0" w:color="auto"/>
            </w:tcBorders>
            <w:hideMark/>
          </w:tcPr>
          <w:p w14:paraId="39FCCD81" w14:textId="77777777" w:rsidR="00CD24EB" w:rsidRPr="00D13B67" w:rsidRDefault="00CD24EB" w:rsidP="0080241A">
            <w:pPr>
              <w:rPr>
                <w:rFonts w:ascii="Times New Roman" w:hAnsi="Times New Roman"/>
              </w:rPr>
            </w:pPr>
            <w:r w:rsidRPr="00D13B67">
              <w:t> </w:t>
            </w:r>
          </w:p>
        </w:tc>
        <w:tc>
          <w:tcPr>
            <w:tcW w:w="3600" w:type="dxa"/>
            <w:tcBorders>
              <w:top w:val="single" w:sz="6" w:space="0" w:color="auto"/>
              <w:left w:val="single" w:sz="6" w:space="0" w:color="auto"/>
              <w:bottom w:val="single" w:sz="6" w:space="0" w:color="auto"/>
              <w:right w:val="single" w:sz="6" w:space="0" w:color="auto"/>
            </w:tcBorders>
            <w:hideMark/>
          </w:tcPr>
          <w:p w14:paraId="32649306" w14:textId="77777777" w:rsidR="00CD24EB" w:rsidRPr="00D13B67" w:rsidRDefault="00CD24EB" w:rsidP="0080241A">
            <w:pPr>
              <w:rPr>
                <w:rFonts w:ascii="Times New Roman" w:hAnsi="Times New Roman"/>
              </w:rPr>
            </w:pPr>
            <w:r w:rsidRPr="00D13B67">
              <w:t> </w:t>
            </w:r>
          </w:p>
        </w:tc>
        <w:tc>
          <w:tcPr>
            <w:tcW w:w="3600" w:type="dxa"/>
            <w:tcBorders>
              <w:top w:val="single" w:sz="6" w:space="0" w:color="auto"/>
              <w:left w:val="single" w:sz="6" w:space="0" w:color="auto"/>
              <w:bottom w:val="single" w:sz="6" w:space="0" w:color="auto"/>
              <w:right w:val="single" w:sz="6" w:space="0" w:color="auto"/>
            </w:tcBorders>
            <w:hideMark/>
          </w:tcPr>
          <w:p w14:paraId="576919C1" w14:textId="77777777" w:rsidR="00CD24EB" w:rsidRPr="00D13B67" w:rsidRDefault="00CD24EB" w:rsidP="0080241A">
            <w:pPr>
              <w:rPr>
                <w:rFonts w:ascii="Times New Roman" w:hAnsi="Times New Roman"/>
              </w:rPr>
            </w:pPr>
            <w:r w:rsidRPr="00D13B67">
              <w:t> </w:t>
            </w:r>
          </w:p>
        </w:tc>
      </w:tr>
      <w:tr w:rsidR="00CD24EB" w:rsidRPr="00D13B67" w14:paraId="3E0E7E32" w14:textId="77777777">
        <w:trPr>
          <w:trHeight w:val="300"/>
        </w:trPr>
        <w:tc>
          <w:tcPr>
            <w:tcW w:w="3600" w:type="dxa"/>
            <w:tcBorders>
              <w:top w:val="single" w:sz="6" w:space="0" w:color="auto"/>
              <w:left w:val="single" w:sz="6" w:space="0" w:color="auto"/>
              <w:bottom w:val="single" w:sz="6" w:space="0" w:color="auto"/>
              <w:right w:val="single" w:sz="6" w:space="0" w:color="auto"/>
            </w:tcBorders>
            <w:hideMark/>
          </w:tcPr>
          <w:p w14:paraId="103EAA28" w14:textId="77777777" w:rsidR="00CD24EB" w:rsidRPr="00D13B67" w:rsidRDefault="00CD24EB" w:rsidP="0080241A">
            <w:r w:rsidRPr="00D13B67">
              <w:t>Influence/Opportunities </w:t>
            </w:r>
          </w:p>
        </w:tc>
        <w:tc>
          <w:tcPr>
            <w:tcW w:w="3600" w:type="dxa"/>
            <w:tcBorders>
              <w:top w:val="single" w:sz="6" w:space="0" w:color="auto"/>
              <w:left w:val="single" w:sz="6" w:space="0" w:color="auto"/>
              <w:bottom w:val="single" w:sz="6" w:space="0" w:color="auto"/>
              <w:right w:val="single" w:sz="6" w:space="0" w:color="auto"/>
            </w:tcBorders>
            <w:hideMark/>
          </w:tcPr>
          <w:p w14:paraId="4F1272CF" w14:textId="77777777" w:rsidR="00CD24EB" w:rsidRPr="00D13B67" w:rsidRDefault="00CD24EB" w:rsidP="0080241A">
            <w:r w:rsidRPr="00D13B67">
              <w:t>Feelings/Successes </w:t>
            </w:r>
          </w:p>
        </w:tc>
        <w:tc>
          <w:tcPr>
            <w:tcW w:w="3600" w:type="dxa"/>
            <w:tcBorders>
              <w:top w:val="single" w:sz="6" w:space="0" w:color="auto"/>
              <w:left w:val="single" w:sz="6" w:space="0" w:color="auto"/>
              <w:bottom w:val="single" w:sz="6" w:space="0" w:color="auto"/>
              <w:right w:val="single" w:sz="6" w:space="0" w:color="auto"/>
            </w:tcBorders>
            <w:hideMark/>
          </w:tcPr>
          <w:p w14:paraId="11CB4479" w14:textId="77777777" w:rsidR="00CD24EB" w:rsidRPr="00D13B67" w:rsidRDefault="00CD24EB" w:rsidP="0080241A">
            <w:r w:rsidRPr="00D13B67">
              <w:t>Challenges/Gaps </w:t>
            </w:r>
          </w:p>
        </w:tc>
      </w:tr>
      <w:tr w:rsidR="00CD24EB" w:rsidRPr="00D13B67" w14:paraId="0E9FF9F9" w14:textId="77777777">
        <w:trPr>
          <w:trHeight w:val="2835"/>
        </w:trPr>
        <w:tc>
          <w:tcPr>
            <w:tcW w:w="3600" w:type="dxa"/>
            <w:tcBorders>
              <w:top w:val="single" w:sz="6" w:space="0" w:color="auto"/>
              <w:left w:val="single" w:sz="6" w:space="0" w:color="auto"/>
              <w:bottom w:val="single" w:sz="6" w:space="0" w:color="auto"/>
              <w:right w:val="single" w:sz="6" w:space="0" w:color="auto"/>
            </w:tcBorders>
            <w:hideMark/>
          </w:tcPr>
          <w:p w14:paraId="4D0C0C65" w14:textId="77777777" w:rsidR="00CD24EB" w:rsidRPr="00D13B67" w:rsidRDefault="00CD24EB" w:rsidP="0080241A">
            <w:pPr>
              <w:rPr>
                <w:rFonts w:ascii="Times New Roman" w:hAnsi="Times New Roman"/>
              </w:rPr>
            </w:pPr>
            <w:r w:rsidRPr="00D13B67">
              <w:lastRenderedPageBreak/>
              <w:t> </w:t>
            </w:r>
          </w:p>
        </w:tc>
        <w:tc>
          <w:tcPr>
            <w:tcW w:w="3600" w:type="dxa"/>
            <w:tcBorders>
              <w:top w:val="single" w:sz="6" w:space="0" w:color="auto"/>
              <w:left w:val="single" w:sz="6" w:space="0" w:color="auto"/>
              <w:bottom w:val="single" w:sz="6" w:space="0" w:color="auto"/>
              <w:right w:val="single" w:sz="6" w:space="0" w:color="auto"/>
            </w:tcBorders>
            <w:hideMark/>
          </w:tcPr>
          <w:p w14:paraId="62445C6D" w14:textId="77777777" w:rsidR="00CD24EB" w:rsidRPr="00D13B67" w:rsidRDefault="00CD24EB" w:rsidP="0080241A">
            <w:pPr>
              <w:rPr>
                <w:rFonts w:ascii="Times New Roman" w:hAnsi="Times New Roman"/>
              </w:rPr>
            </w:pPr>
            <w:r w:rsidRPr="00D13B67">
              <w:t> </w:t>
            </w:r>
          </w:p>
        </w:tc>
        <w:tc>
          <w:tcPr>
            <w:tcW w:w="3600" w:type="dxa"/>
            <w:tcBorders>
              <w:top w:val="single" w:sz="6" w:space="0" w:color="auto"/>
              <w:left w:val="single" w:sz="6" w:space="0" w:color="auto"/>
              <w:bottom w:val="single" w:sz="6" w:space="0" w:color="auto"/>
              <w:right w:val="single" w:sz="6" w:space="0" w:color="auto"/>
            </w:tcBorders>
            <w:hideMark/>
          </w:tcPr>
          <w:p w14:paraId="739AA45A" w14:textId="77777777" w:rsidR="00CD24EB" w:rsidRPr="00D13B67" w:rsidRDefault="00CD24EB" w:rsidP="0080241A">
            <w:pPr>
              <w:rPr>
                <w:rFonts w:ascii="Times New Roman" w:hAnsi="Times New Roman"/>
              </w:rPr>
            </w:pPr>
            <w:r w:rsidRPr="00D13B67">
              <w:t> </w:t>
            </w:r>
          </w:p>
        </w:tc>
      </w:tr>
    </w:tbl>
    <w:p w14:paraId="2A4580E0" w14:textId="77777777" w:rsidR="00CD24EB" w:rsidRPr="00D13B67" w:rsidRDefault="00CD24EB" w:rsidP="0080241A">
      <w:pPr>
        <w:rPr>
          <w:rFonts w:ascii="Segoe UI" w:hAnsi="Segoe UI"/>
          <w:sz w:val="18"/>
          <w:szCs w:val="18"/>
        </w:rPr>
      </w:pPr>
      <w:r w:rsidRPr="00D13B67">
        <w:t> </w:t>
      </w:r>
    </w:p>
    <w:p w14:paraId="476DECCA" w14:textId="77777777" w:rsidR="00CD24EB" w:rsidRPr="00D13B67" w:rsidRDefault="00CD24EB" w:rsidP="0080241A">
      <w:pPr>
        <w:rPr>
          <w:rFonts w:ascii="Segoe UI" w:hAnsi="Segoe UI"/>
          <w:sz w:val="18"/>
          <w:szCs w:val="18"/>
        </w:rPr>
      </w:pPr>
      <w:r w:rsidRPr="00D13B67">
        <w:t>Journey Map </w:t>
      </w:r>
    </w:p>
    <w:p w14:paraId="5F21CBEF" w14:textId="77777777" w:rsidR="00CD24EB" w:rsidRPr="00D13B67" w:rsidRDefault="00CD24EB" w:rsidP="00CD24EB">
      <w:pPr>
        <w:rPr>
          <w:rFonts w:ascii="Segoe UI" w:hAnsi="Segoe UI"/>
          <w:sz w:val="18"/>
          <w:szCs w:val="18"/>
        </w:rPr>
      </w:pPr>
      <w:r w:rsidRPr="00D13B67">
        <w:t>Like an empathy map, a journey map can document one’s own perspective or the experience of another. However, a journey map adds a dimension of time considering influencing factors and change. For example, a journey map would be useful to document a student’s experience getting remediated learning material compatible with their technology.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2"/>
        <w:gridCol w:w="6452"/>
      </w:tblGrid>
      <w:tr w:rsidR="00CD24EB" w:rsidRPr="00D13B67" w14:paraId="60462259" w14:textId="77777777">
        <w:trPr>
          <w:trHeight w:val="1860"/>
        </w:trPr>
        <w:tc>
          <w:tcPr>
            <w:tcW w:w="2955" w:type="dxa"/>
            <w:tcBorders>
              <w:top w:val="single" w:sz="6" w:space="0" w:color="auto"/>
              <w:left w:val="single" w:sz="6" w:space="0" w:color="auto"/>
              <w:bottom w:val="single" w:sz="6" w:space="0" w:color="auto"/>
              <w:right w:val="single" w:sz="6" w:space="0" w:color="auto"/>
            </w:tcBorders>
            <w:hideMark/>
          </w:tcPr>
          <w:p w14:paraId="2E9985C3" w14:textId="77777777" w:rsidR="00CD24EB" w:rsidRPr="00D13B67" w:rsidRDefault="00CD24EB" w:rsidP="0080241A">
            <w:r w:rsidRPr="00D13B67">
              <w:t>Actions, events, scenario </w:t>
            </w:r>
          </w:p>
        </w:tc>
        <w:tc>
          <w:tcPr>
            <w:tcW w:w="8040" w:type="dxa"/>
            <w:tcBorders>
              <w:top w:val="single" w:sz="6" w:space="0" w:color="auto"/>
              <w:left w:val="single" w:sz="6" w:space="0" w:color="auto"/>
              <w:bottom w:val="single" w:sz="6" w:space="0" w:color="auto"/>
              <w:right w:val="single" w:sz="6" w:space="0" w:color="auto"/>
            </w:tcBorders>
            <w:hideMark/>
          </w:tcPr>
          <w:p w14:paraId="52AD5FEE" w14:textId="77777777" w:rsidR="00CD24EB" w:rsidRPr="00D13B67" w:rsidRDefault="00CD24EB" w:rsidP="0080241A">
            <w:r w:rsidRPr="00D13B67">
              <w:t> </w:t>
            </w:r>
          </w:p>
        </w:tc>
      </w:tr>
      <w:tr w:rsidR="00CD24EB" w:rsidRPr="00D13B67" w14:paraId="3453A14E" w14:textId="77777777">
        <w:trPr>
          <w:trHeight w:val="1860"/>
        </w:trPr>
        <w:tc>
          <w:tcPr>
            <w:tcW w:w="2955" w:type="dxa"/>
            <w:tcBorders>
              <w:top w:val="single" w:sz="6" w:space="0" w:color="auto"/>
              <w:left w:val="single" w:sz="6" w:space="0" w:color="auto"/>
              <w:bottom w:val="single" w:sz="6" w:space="0" w:color="auto"/>
              <w:right w:val="single" w:sz="6" w:space="0" w:color="auto"/>
            </w:tcBorders>
            <w:hideMark/>
          </w:tcPr>
          <w:p w14:paraId="7DA097F4" w14:textId="77777777" w:rsidR="00CD24EB" w:rsidRPr="00D13B67" w:rsidRDefault="00CD24EB" w:rsidP="0080241A">
            <w:r w:rsidRPr="00D13B67">
              <w:t>What are the barriers, challenges? </w:t>
            </w:r>
          </w:p>
        </w:tc>
        <w:tc>
          <w:tcPr>
            <w:tcW w:w="8040" w:type="dxa"/>
            <w:tcBorders>
              <w:top w:val="single" w:sz="6" w:space="0" w:color="auto"/>
              <w:left w:val="single" w:sz="6" w:space="0" w:color="auto"/>
              <w:bottom w:val="single" w:sz="6" w:space="0" w:color="auto"/>
              <w:right w:val="single" w:sz="6" w:space="0" w:color="auto"/>
            </w:tcBorders>
            <w:hideMark/>
          </w:tcPr>
          <w:p w14:paraId="14F273DD" w14:textId="77777777" w:rsidR="00CD24EB" w:rsidRPr="00D13B67" w:rsidRDefault="00CD24EB" w:rsidP="0080241A">
            <w:r w:rsidRPr="00D13B67">
              <w:t> </w:t>
            </w:r>
          </w:p>
        </w:tc>
      </w:tr>
      <w:tr w:rsidR="00CD24EB" w:rsidRPr="00D13B67" w14:paraId="2FDC4687" w14:textId="77777777">
        <w:trPr>
          <w:trHeight w:val="1860"/>
        </w:trPr>
        <w:tc>
          <w:tcPr>
            <w:tcW w:w="2955" w:type="dxa"/>
            <w:tcBorders>
              <w:top w:val="single" w:sz="6" w:space="0" w:color="auto"/>
              <w:left w:val="single" w:sz="6" w:space="0" w:color="auto"/>
              <w:bottom w:val="single" w:sz="6" w:space="0" w:color="auto"/>
              <w:right w:val="single" w:sz="6" w:space="0" w:color="auto"/>
            </w:tcBorders>
            <w:hideMark/>
          </w:tcPr>
          <w:p w14:paraId="075FF3C6" w14:textId="77777777" w:rsidR="00CD24EB" w:rsidRPr="00D13B67" w:rsidRDefault="00CD24EB" w:rsidP="0080241A">
            <w:r w:rsidRPr="00D13B67">
              <w:t>How do you feel? </w:t>
            </w:r>
          </w:p>
        </w:tc>
        <w:tc>
          <w:tcPr>
            <w:tcW w:w="8040" w:type="dxa"/>
            <w:tcBorders>
              <w:top w:val="single" w:sz="6" w:space="0" w:color="auto"/>
              <w:left w:val="single" w:sz="6" w:space="0" w:color="auto"/>
              <w:bottom w:val="single" w:sz="6" w:space="0" w:color="auto"/>
              <w:right w:val="single" w:sz="6" w:space="0" w:color="auto"/>
            </w:tcBorders>
            <w:hideMark/>
          </w:tcPr>
          <w:p w14:paraId="07179C85" w14:textId="77777777" w:rsidR="00CD24EB" w:rsidRPr="00D13B67" w:rsidRDefault="00CD24EB" w:rsidP="0080241A">
            <w:r w:rsidRPr="00D13B67">
              <w:t> </w:t>
            </w:r>
          </w:p>
        </w:tc>
      </w:tr>
      <w:tr w:rsidR="00CD24EB" w:rsidRPr="00D13B67" w14:paraId="44A7F4E6" w14:textId="77777777">
        <w:trPr>
          <w:trHeight w:val="1860"/>
        </w:trPr>
        <w:tc>
          <w:tcPr>
            <w:tcW w:w="2955" w:type="dxa"/>
            <w:tcBorders>
              <w:top w:val="single" w:sz="6" w:space="0" w:color="auto"/>
              <w:left w:val="single" w:sz="6" w:space="0" w:color="auto"/>
              <w:bottom w:val="single" w:sz="6" w:space="0" w:color="auto"/>
              <w:right w:val="single" w:sz="6" w:space="0" w:color="auto"/>
            </w:tcBorders>
            <w:hideMark/>
          </w:tcPr>
          <w:p w14:paraId="308A62F7" w14:textId="77777777" w:rsidR="00CD24EB" w:rsidRPr="00D13B67" w:rsidRDefault="00CD24EB" w:rsidP="0080241A">
            <w:r w:rsidRPr="00D13B67">
              <w:t>Who is responsible? (go to Users/stakeholders if necessary) </w:t>
            </w:r>
          </w:p>
        </w:tc>
        <w:tc>
          <w:tcPr>
            <w:tcW w:w="8040" w:type="dxa"/>
            <w:tcBorders>
              <w:top w:val="single" w:sz="6" w:space="0" w:color="auto"/>
              <w:left w:val="single" w:sz="6" w:space="0" w:color="auto"/>
              <w:bottom w:val="single" w:sz="6" w:space="0" w:color="auto"/>
              <w:right w:val="single" w:sz="6" w:space="0" w:color="auto"/>
            </w:tcBorders>
            <w:hideMark/>
          </w:tcPr>
          <w:p w14:paraId="480360DE" w14:textId="77777777" w:rsidR="00CD24EB" w:rsidRPr="00D13B67" w:rsidRDefault="00CD24EB" w:rsidP="0080241A">
            <w:r w:rsidRPr="00D13B67">
              <w:t> </w:t>
            </w:r>
          </w:p>
        </w:tc>
      </w:tr>
      <w:tr w:rsidR="00CD24EB" w:rsidRPr="00D13B67" w14:paraId="6325C229" w14:textId="77777777">
        <w:trPr>
          <w:trHeight w:val="1860"/>
        </w:trPr>
        <w:tc>
          <w:tcPr>
            <w:tcW w:w="2955" w:type="dxa"/>
            <w:tcBorders>
              <w:top w:val="single" w:sz="6" w:space="0" w:color="auto"/>
              <w:left w:val="single" w:sz="6" w:space="0" w:color="auto"/>
              <w:bottom w:val="single" w:sz="6" w:space="0" w:color="auto"/>
              <w:right w:val="single" w:sz="6" w:space="0" w:color="auto"/>
            </w:tcBorders>
            <w:hideMark/>
          </w:tcPr>
          <w:p w14:paraId="7A6AE3A2" w14:textId="77777777" w:rsidR="00CD24EB" w:rsidRPr="00D13B67" w:rsidRDefault="00CD24EB" w:rsidP="0080241A">
            <w:r w:rsidRPr="00D13B67">
              <w:lastRenderedPageBreak/>
              <w:t>Timeline (short, long, specific) </w:t>
            </w:r>
          </w:p>
        </w:tc>
        <w:tc>
          <w:tcPr>
            <w:tcW w:w="8040" w:type="dxa"/>
            <w:tcBorders>
              <w:top w:val="single" w:sz="6" w:space="0" w:color="auto"/>
              <w:left w:val="single" w:sz="6" w:space="0" w:color="auto"/>
              <w:bottom w:val="single" w:sz="6" w:space="0" w:color="auto"/>
              <w:right w:val="single" w:sz="6" w:space="0" w:color="auto"/>
            </w:tcBorders>
            <w:hideMark/>
          </w:tcPr>
          <w:p w14:paraId="71ABB403" w14:textId="77777777" w:rsidR="00CD24EB" w:rsidRPr="00D13B67" w:rsidRDefault="00CD24EB" w:rsidP="0080241A">
            <w:r w:rsidRPr="00D13B67">
              <w:t> </w:t>
            </w:r>
          </w:p>
        </w:tc>
      </w:tr>
      <w:tr w:rsidR="00CD24EB" w:rsidRPr="00D13B67" w14:paraId="192418C7" w14:textId="77777777">
        <w:trPr>
          <w:trHeight w:val="1860"/>
        </w:trPr>
        <w:tc>
          <w:tcPr>
            <w:tcW w:w="2955" w:type="dxa"/>
            <w:tcBorders>
              <w:top w:val="single" w:sz="6" w:space="0" w:color="auto"/>
              <w:left w:val="single" w:sz="6" w:space="0" w:color="auto"/>
              <w:bottom w:val="single" w:sz="6" w:space="0" w:color="auto"/>
              <w:right w:val="single" w:sz="6" w:space="0" w:color="auto"/>
            </w:tcBorders>
            <w:hideMark/>
          </w:tcPr>
          <w:p w14:paraId="3A968E77" w14:textId="77777777" w:rsidR="00CD24EB" w:rsidRPr="00D13B67" w:rsidRDefault="00CD24EB" w:rsidP="0080241A">
            <w:r w:rsidRPr="00D13B67">
              <w:t>Notes/insights/artifacts? </w:t>
            </w:r>
          </w:p>
        </w:tc>
        <w:tc>
          <w:tcPr>
            <w:tcW w:w="8040" w:type="dxa"/>
            <w:tcBorders>
              <w:top w:val="single" w:sz="6" w:space="0" w:color="auto"/>
              <w:left w:val="single" w:sz="6" w:space="0" w:color="auto"/>
              <w:bottom w:val="single" w:sz="6" w:space="0" w:color="auto"/>
              <w:right w:val="single" w:sz="6" w:space="0" w:color="auto"/>
            </w:tcBorders>
            <w:hideMark/>
          </w:tcPr>
          <w:p w14:paraId="3CE43077" w14:textId="77777777" w:rsidR="00CD24EB" w:rsidRPr="00D13B67" w:rsidRDefault="00CD24EB" w:rsidP="0080241A">
            <w:r w:rsidRPr="00D13B67">
              <w:t> </w:t>
            </w:r>
          </w:p>
        </w:tc>
      </w:tr>
    </w:tbl>
    <w:p w14:paraId="18D75214" w14:textId="77777777" w:rsidR="00CD24EB" w:rsidRPr="00D13B67" w:rsidRDefault="00CD24EB" w:rsidP="0080241A">
      <w:pPr>
        <w:rPr>
          <w:rFonts w:cs="Segoe UI"/>
        </w:rPr>
      </w:pPr>
      <w:hyperlink r:id="rId259" w:tgtFrame="_blank" w:history="1">
        <w:r w:rsidRPr="00D13B67">
          <w:rPr>
            <w:rFonts w:cs="Segoe UI"/>
            <w:color w:val="0000FF"/>
            <w:u w:val="single"/>
          </w:rPr>
          <w:t>Co-designing inclusive feedback mechanisms by user journey mapping.pdf</w:t>
        </w:r>
      </w:hyperlink>
      <w:r w:rsidRPr="00D13B67">
        <w:rPr>
          <w:rFonts w:cs="Segoe UI"/>
        </w:rPr>
        <w:t> </w:t>
      </w:r>
    </w:p>
    <w:p w14:paraId="17747D32" w14:textId="77777777" w:rsidR="00CD24EB" w:rsidRPr="00D13B67" w:rsidRDefault="00CD24EB" w:rsidP="0080241A">
      <w:pPr>
        <w:rPr>
          <w:rFonts w:ascii="Segoe UI" w:hAnsi="Segoe UI"/>
          <w:sz w:val="18"/>
          <w:szCs w:val="18"/>
        </w:rPr>
      </w:pPr>
      <w:r w:rsidRPr="00D13B67">
        <w:t>Why </w:t>
      </w:r>
    </w:p>
    <w:p w14:paraId="6AF395EB" w14:textId="77777777" w:rsidR="00CD24EB" w:rsidRPr="00D13B67" w:rsidRDefault="00CD24EB" w:rsidP="00CD24EB">
      <w:pPr>
        <w:rPr>
          <w:rFonts w:ascii="Segoe UI" w:hAnsi="Segoe UI"/>
          <w:sz w:val="18"/>
          <w:szCs w:val="18"/>
        </w:rPr>
      </w:pPr>
      <w:r w:rsidRPr="00D13B67">
        <w:t>Repeatedly asking why, like a toddler might to an adult could be employed to get to the heart of an issue raised by a student. For example: "Instructors should stop uploading scanned PDFs that are blurry or hard to read.” </w:t>
      </w:r>
      <w:hyperlink r:id="rId260" w:tgtFrame="_blank" w:history="1">
        <w:r w:rsidRPr="00D13B67">
          <w:rPr>
            <w:color w:val="0000FF"/>
            <w:u w:val="single"/>
          </w:rPr>
          <w:t>First principles | </w:t>
        </w:r>
        <w:proofErr w:type="spellStart"/>
        <w:r w:rsidRPr="00D13B67">
          <w:rPr>
            <w:color w:val="0000FF"/>
            <w:u w:val="single"/>
          </w:rPr>
          <w:t>Untools</w:t>
        </w:r>
        <w:proofErr w:type="spellEnd"/>
      </w:hyperlink>
      <w:r w:rsidRPr="00D13B67">
        <w:t> </w:t>
      </w:r>
    </w:p>
    <w:p w14:paraId="1DCB3F66" w14:textId="77777777" w:rsidR="00CD24EB" w:rsidRPr="00D13B67" w:rsidRDefault="00CD24EB" w:rsidP="00CD24EB">
      <w:pPr>
        <w:rPr>
          <w:rFonts w:ascii="Segoe UI" w:hAnsi="Segoe UI"/>
          <w:sz w:val="18"/>
          <w:szCs w:val="18"/>
        </w:rPr>
      </w:pPr>
      <w:r w:rsidRPr="00D13B67">
        <w:t>“Why?" “Because it’s hard for me to read them.” </w:t>
      </w:r>
    </w:p>
    <w:p w14:paraId="194BFC9B" w14:textId="77777777" w:rsidR="00CD24EB" w:rsidRPr="00D13B67" w:rsidRDefault="00CD24EB" w:rsidP="00CD24EB">
      <w:pPr>
        <w:rPr>
          <w:rFonts w:ascii="Segoe UI" w:hAnsi="Segoe UI"/>
          <w:sz w:val="18"/>
          <w:szCs w:val="18"/>
        </w:rPr>
      </w:pPr>
      <w:r w:rsidRPr="00D13B67">
        <w:t>“Why is that important?” “Because if I can’t read them, I fall behind.” </w:t>
      </w:r>
    </w:p>
    <w:p w14:paraId="132683E7" w14:textId="77777777" w:rsidR="00CD24EB" w:rsidRPr="00D13B67" w:rsidRDefault="00CD24EB" w:rsidP="00CD24EB">
      <w:pPr>
        <w:rPr>
          <w:rFonts w:ascii="Segoe UI" w:hAnsi="Segoe UI"/>
          <w:sz w:val="18"/>
          <w:szCs w:val="18"/>
        </w:rPr>
      </w:pPr>
      <w:r w:rsidRPr="00D13B67">
        <w:t>“Why does that matter?” “Because I want to succeed like everyone else.” </w:t>
      </w:r>
    </w:p>
    <w:p w14:paraId="479EF43B" w14:textId="77777777" w:rsidR="00CD24EB" w:rsidRPr="00D13B67" w:rsidRDefault="00CD24EB" w:rsidP="00CD24EB">
      <w:pPr>
        <w:rPr>
          <w:rFonts w:ascii="Segoe UI" w:hAnsi="Segoe UI"/>
          <w:sz w:val="18"/>
          <w:szCs w:val="18"/>
        </w:rPr>
      </w:pPr>
      <w:r w:rsidRPr="00D13B67">
        <w:t>“</w:t>
      </w:r>
      <w:proofErr w:type="gramStart"/>
      <w:r w:rsidRPr="00D13B67">
        <w:t>So</w:t>
      </w:r>
      <w:proofErr w:type="gramEnd"/>
      <w:r w:rsidRPr="00D13B67">
        <w:t> what does this tell us about what really matters?” </w:t>
      </w:r>
    </w:p>
    <w:p w14:paraId="380C67EE" w14:textId="6381742F" w:rsidR="00CD24EB" w:rsidRPr="00D13B67" w:rsidRDefault="00CD24EB" w:rsidP="00A9524C">
      <w:pPr>
        <w:pStyle w:val="ListParagraph"/>
        <w:numPr>
          <w:ilvl w:val="0"/>
          <w:numId w:val="13"/>
        </w:numPr>
      </w:pPr>
      <w:r w:rsidRPr="00D13B67">
        <w:t>Record on whiteboard or worksheet and/or capture keywords, quotes in chart (as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1"/>
        <w:gridCol w:w="1765"/>
        <w:gridCol w:w="1731"/>
        <w:gridCol w:w="1985"/>
        <w:gridCol w:w="1752"/>
      </w:tblGrid>
      <w:tr w:rsidR="00CD24EB" w:rsidRPr="00D13B67" w14:paraId="76DD228A" w14:textId="77777777">
        <w:trPr>
          <w:trHeight w:val="300"/>
        </w:trPr>
        <w:tc>
          <w:tcPr>
            <w:tcW w:w="2610" w:type="dxa"/>
            <w:tcBorders>
              <w:top w:val="single" w:sz="6" w:space="0" w:color="auto"/>
              <w:left w:val="single" w:sz="6" w:space="0" w:color="auto"/>
              <w:bottom w:val="single" w:sz="6" w:space="0" w:color="auto"/>
              <w:right w:val="single" w:sz="6" w:space="0" w:color="auto"/>
            </w:tcBorders>
            <w:vAlign w:val="center"/>
            <w:hideMark/>
          </w:tcPr>
          <w:p w14:paraId="4EFBEFE6" w14:textId="77777777" w:rsidR="00CD24EB" w:rsidRPr="00D13B67" w:rsidRDefault="00CD24EB" w:rsidP="0080241A">
            <w:r w:rsidRPr="00D13B67">
              <w:t>Statement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322F2D9C" w14:textId="77777777" w:rsidR="00CD24EB" w:rsidRPr="00D13B67" w:rsidRDefault="00CD24EB" w:rsidP="0080241A">
            <w:r w:rsidRPr="00D13B67">
              <w:t>Why? (1) </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6F59875" w14:textId="77777777" w:rsidR="00CD24EB" w:rsidRPr="00D13B67" w:rsidRDefault="00CD24EB" w:rsidP="0080241A">
            <w:r w:rsidRPr="00D13B67">
              <w:t>Why? (2) </w:t>
            </w:r>
          </w:p>
        </w:tc>
        <w:tc>
          <w:tcPr>
            <w:tcW w:w="2205" w:type="dxa"/>
            <w:tcBorders>
              <w:top w:val="single" w:sz="6" w:space="0" w:color="auto"/>
              <w:left w:val="single" w:sz="6" w:space="0" w:color="auto"/>
              <w:bottom w:val="single" w:sz="6" w:space="0" w:color="auto"/>
              <w:right w:val="single" w:sz="6" w:space="0" w:color="auto"/>
            </w:tcBorders>
            <w:vAlign w:val="center"/>
            <w:hideMark/>
          </w:tcPr>
          <w:p w14:paraId="26E691BA" w14:textId="77777777" w:rsidR="00CD24EB" w:rsidRPr="00D13B67" w:rsidRDefault="00CD24EB" w:rsidP="0080241A">
            <w:r w:rsidRPr="00D13B67">
              <w:t>Why? (3) </w:t>
            </w:r>
          </w:p>
        </w:tc>
        <w:tc>
          <w:tcPr>
            <w:tcW w:w="2040" w:type="dxa"/>
            <w:tcBorders>
              <w:top w:val="single" w:sz="6" w:space="0" w:color="auto"/>
              <w:left w:val="single" w:sz="6" w:space="0" w:color="auto"/>
              <w:bottom w:val="single" w:sz="6" w:space="0" w:color="auto"/>
              <w:right w:val="single" w:sz="6" w:space="0" w:color="auto"/>
            </w:tcBorders>
            <w:vAlign w:val="center"/>
            <w:hideMark/>
          </w:tcPr>
          <w:p w14:paraId="76716283" w14:textId="77777777" w:rsidR="00CD24EB" w:rsidRPr="00D13B67" w:rsidRDefault="00CD24EB" w:rsidP="0080241A">
            <w:r w:rsidRPr="00D13B67">
              <w:t>Core Value Uncovered </w:t>
            </w:r>
          </w:p>
        </w:tc>
      </w:tr>
      <w:tr w:rsidR="00CD24EB" w:rsidRPr="00D13B67" w14:paraId="5CCC9242" w14:textId="77777777">
        <w:trPr>
          <w:trHeight w:val="300"/>
        </w:trPr>
        <w:tc>
          <w:tcPr>
            <w:tcW w:w="2610" w:type="dxa"/>
            <w:tcBorders>
              <w:top w:val="single" w:sz="6" w:space="0" w:color="auto"/>
              <w:left w:val="single" w:sz="6" w:space="0" w:color="auto"/>
              <w:bottom w:val="single" w:sz="6" w:space="0" w:color="auto"/>
              <w:right w:val="single" w:sz="6" w:space="0" w:color="auto"/>
            </w:tcBorders>
            <w:vAlign w:val="center"/>
            <w:hideMark/>
          </w:tcPr>
          <w:p w14:paraId="1C82F801" w14:textId="77777777" w:rsidR="00CD24EB" w:rsidRPr="00D13B67" w:rsidRDefault="00CD24EB" w:rsidP="0080241A">
            <w:r w:rsidRPr="00D13B67">
              <w:t>"Stop uploading scanned PDFs"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6770F92E" w14:textId="77777777" w:rsidR="00CD24EB" w:rsidRPr="00D13B67" w:rsidRDefault="00CD24EB" w:rsidP="0080241A">
            <w:r w:rsidRPr="00D13B67">
              <w:t>"They’re hard to read" </w:t>
            </w:r>
          </w:p>
        </w:tc>
        <w:tc>
          <w:tcPr>
            <w:tcW w:w="1935" w:type="dxa"/>
            <w:tcBorders>
              <w:top w:val="single" w:sz="6" w:space="0" w:color="auto"/>
              <w:left w:val="single" w:sz="6" w:space="0" w:color="auto"/>
              <w:bottom w:val="single" w:sz="6" w:space="0" w:color="auto"/>
              <w:right w:val="single" w:sz="6" w:space="0" w:color="auto"/>
            </w:tcBorders>
            <w:vAlign w:val="center"/>
            <w:hideMark/>
          </w:tcPr>
          <w:p w14:paraId="74144A1A" w14:textId="77777777" w:rsidR="00CD24EB" w:rsidRPr="00D13B67" w:rsidRDefault="00CD24EB" w:rsidP="0080241A">
            <w:r w:rsidRPr="00D13B67">
              <w:t>"I miss key info" </w:t>
            </w:r>
          </w:p>
        </w:tc>
        <w:tc>
          <w:tcPr>
            <w:tcW w:w="2205" w:type="dxa"/>
            <w:tcBorders>
              <w:top w:val="single" w:sz="6" w:space="0" w:color="auto"/>
              <w:left w:val="single" w:sz="6" w:space="0" w:color="auto"/>
              <w:bottom w:val="single" w:sz="6" w:space="0" w:color="auto"/>
              <w:right w:val="single" w:sz="6" w:space="0" w:color="auto"/>
            </w:tcBorders>
            <w:vAlign w:val="center"/>
            <w:hideMark/>
          </w:tcPr>
          <w:p w14:paraId="496BB2F8" w14:textId="77777777" w:rsidR="00CD24EB" w:rsidRPr="00D13B67" w:rsidRDefault="00CD24EB" w:rsidP="0080241A">
            <w:r w:rsidRPr="00D13B67">
              <w:t>"I fall behind" </w:t>
            </w:r>
          </w:p>
        </w:tc>
        <w:tc>
          <w:tcPr>
            <w:tcW w:w="2040" w:type="dxa"/>
            <w:tcBorders>
              <w:top w:val="single" w:sz="6" w:space="0" w:color="auto"/>
              <w:left w:val="single" w:sz="6" w:space="0" w:color="auto"/>
              <w:bottom w:val="single" w:sz="6" w:space="0" w:color="auto"/>
              <w:right w:val="single" w:sz="6" w:space="0" w:color="auto"/>
            </w:tcBorders>
            <w:vAlign w:val="center"/>
            <w:hideMark/>
          </w:tcPr>
          <w:p w14:paraId="43BDA0BF" w14:textId="77777777" w:rsidR="00CD24EB" w:rsidRPr="00D13B67" w:rsidRDefault="00CD24EB" w:rsidP="0080241A">
            <w:r w:rsidRPr="00D13B67">
              <w:t>Equity, Access </w:t>
            </w:r>
          </w:p>
        </w:tc>
      </w:tr>
      <w:tr w:rsidR="00CD24EB" w:rsidRPr="00D13B67" w14:paraId="14E5508D" w14:textId="77777777">
        <w:trPr>
          <w:trHeight w:val="300"/>
        </w:trPr>
        <w:tc>
          <w:tcPr>
            <w:tcW w:w="2610" w:type="dxa"/>
            <w:tcBorders>
              <w:top w:val="single" w:sz="6" w:space="0" w:color="auto"/>
              <w:left w:val="single" w:sz="6" w:space="0" w:color="auto"/>
              <w:bottom w:val="single" w:sz="6" w:space="0" w:color="auto"/>
              <w:right w:val="single" w:sz="6" w:space="0" w:color="auto"/>
            </w:tcBorders>
            <w:vAlign w:val="center"/>
            <w:hideMark/>
          </w:tcPr>
          <w:p w14:paraId="2F13C3C5" w14:textId="77777777" w:rsidR="00CD24EB" w:rsidRPr="00D13B67" w:rsidRDefault="00CD24EB" w:rsidP="0080241A">
            <w:r w:rsidRPr="00D13B67">
              <w:t>"Add captions to videos"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244A3595" w14:textId="77777777" w:rsidR="00CD24EB" w:rsidRPr="00D13B67" w:rsidRDefault="00CD24EB" w:rsidP="0080241A">
            <w:r w:rsidRPr="00D13B67">
              <w:t>"So deaf students understand" </w:t>
            </w:r>
          </w:p>
        </w:tc>
        <w:tc>
          <w:tcPr>
            <w:tcW w:w="1935" w:type="dxa"/>
            <w:tcBorders>
              <w:top w:val="single" w:sz="6" w:space="0" w:color="auto"/>
              <w:left w:val="single" w:sz="6" w:space="0" w:color="auto"/>
              <w:bottom w:val="single" w:sz="6" w:space="0" w:color="auto"/>
              <w:right w:val="single" w:sz="6" w:space="0" w:color="auto"/>
            </w:tcBorders>
            <w:vAlign w:val="center"/>
            <w:hideMark/>
          </w:tcPr>
          <w:p w14:paraId="4DF666E0" w14:textId="77777777" w:rsidR="00CD24EB" w:rsidRPr="00D13B67" w:rsidRDefault="00CD24EB" w:rsidP="0080241A">
            <w:r w:rsidRPr="00D13B67">
              <w:t>"</w:t>
            </w:r>
            <w:proofErr w:type="gramStart"/>
            <w:r w:rsidRPr="00D13B67">
              <w:t>So</w:t>
            </w:r>
            <w:proofErr w:type="gramEnd"/>
            <w:r w:rsidRPr="00D13B67">
              <w:t> they don’t feel excluded" </w:t>
            </w:r>
          </w:p>
        </w:tc>
        <w:tc>
          <w:tcPr>
            <w:tcW w:w="2205" w:type="dxa"/>
            <w:tcBorders>
              <w:top w:val="single" w:sz="6" w:space="0" w:color="auto"/>
              <w:left w:val="single" w:sz="6" w:space="0" w:color="auto"/>
              <w:bottom w:val="single" w:sz="6" w:space="0" w:color="auto"/>
              <w:right w:val="single" w:sz="6" w:space="0" w:color="auto"/>
            </w:tcBorders>
            <w:vAlign w:val="center"/>
            <w:hideMark/>
          </w:tcPr>
          <w:p w14:paraId="00D57FBD" w14:textId="77777777" w:rsidR="00CD24EB" w:rsidRPr="00D13B67" w:rsidRDefault="00CD24EB" w:rsidP="0080241A">
            <w:r w:rsidRPr="00D13B67">
              <w:t>"</w:t>
            </w:r>
            <w:proofErr w:type="gramStart"/>
            <w:r w:rsidRPr="00D13B67">
              <w:t>So</w:t>
            </w:r>
            <w:proofErr w:type="gramEnd"/>
            <w:r w:rsidRPr="00D13B67">
              <w:t> they feel like they belong" </w:t>
            </w:r>
          </w:p>
        </w:tc>
        <w:tc>
          <w:tcPr>
            <w:tcW w:w="2040" w:type="dxa"/>
            <w:tcBorders>
              <w:top w:val="single" w:sz="6" w:space="0" w:color="auto"/>
              <w:left w:val="single" w:sz="6" w:space="0" w:color="auto"/>
              <w:bottom w:val="single" w:sz="6" w:space="0" w:color="auto"/>
              <w:right w:val="single" w:sz="6" w:space="0" w:color="auto"/>
            </w:tcBorders>
            <w:vAlign w:val="center"/>
            <w:hideMark/>
          </w:tcPr>
          <w:p w14:paraId="19921967" w14:textId="77777777" w:rsidR="00CD24EB" w:rsidRPr="00D13B67" w:rsidRDefault="00CD24EB" w:rsidP="0080241A">
            <w:r w:rsidRPr="00D13B67">
              <w:t>Inclusion, Belonging </w:t>
            </w:r>
          </w:p>
        </w:tc>
      </w:tr>
      <w:tr w:rsidR="00CD24EB" w:rsidRPr="00D13B67" w14:paraId="523AC6AA" w14:textId="77777777">
        <w:trPr>
          <w:trHeight w:val="300"/>
        </w:trPr>
        <w:tc>
          <w:tcPr>
            <w:tcW w:w="2610" w:type="dxa"/>
            <w:tcBorders>
              <w:top w:val="single" w:sz="6" w:space="0" w:color="auto"/>
              <w:left w:val="single" w:sz="6" w:space="0" w:color="auto"/>
              <w:bottom w:val="single" w:sz="6" w:space="0" w:color="auto"/>
              <w:right w:val="single" w:sz="6" w:space="0" w:color="auto"/>
            </w:tcBorders>
            <w:vAlign w:val="center"/>
            <w:hideMark/>
          </w:tcPr>
          <w:p w14:paraId="3C4FDED1" w14:textId="77777777" w:rsidR="00CD24EB" w:rsidRPr="00D13B67" w:rsidRDefault="00CD24EB" w:rsidP="0080241A">
            <w:r w:rsidRPr="00D13B67">
              <w:t>"Make LMS content easier to navigate"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5F23D2DA" w14:textId="77777777" w:rsidR="00CD24EB" w:rsidRPr="00D13B67" w:rsidRDefault="00CD24EB" w:rsidP="0080241A">
            <w:r w:rsidRPr="00D13B67">
              <w:t>"</w:t>
            </w:r>
            <w:proofErr w:type="gramStart"/>
            <w:r w:rsidRPr="00D13B67">
              <w:t>So</w:t>
            </w:r>
            <w:proofErr w:type="gramEnd"/>
            <w:r w:rsidRPr="00D13B67">
              <w:t> it’s less confusing" </w:t>
            </w:r>
          </w:p>
        </w:tc>
        <w:tc>
          <w:tcPr>
            <w:tcW w:w="1935" w:type="dxa"/>
            <w:tcBorders>
              <w:top w:val="single" w:sz="6" w:space="0" w:color="auto"/>
              <w:left w:val="single" w:sz="6" w:space="0" w:color="auto"/>
              <w:bottom w:val="single" w:sz="6" w:space="0" w:color="auto"/>
              <w:right w:val="single" w:sz="6" w:space="0" w:color="auto"/>
            </w:tcBorders>
            <w:vAlign w:val="center"/>
            <w:hideMark/>
          </w:tcPr>
          <w:p w14:paraId="7C5CCC09" w14:textId="77777777" w:rsidR="00CD24EB" w:rsidRPr="00D13B67" w:rsidRDefault="00CD24EB" w:rsidP="0080241A">
            <w:r w:rsidRPr="00D13B67">
              <w:t>"</w:t>
            </w:r>
            <w:proofErr w:type="gramStart"/>
            <w:r w:rsidRPr="00D13B67">
              <w:t>So</w:t>
            </w:r>
            <w:proofErr w:type="gramEnd"/>
            <w:r w:rsidRPr="00D13B67">
              <w:t> students can find things" </w:t>
            </w:r>
          </w:p>
        </w:tc>
        <w:tc>
          <w:tcPr>
            <w:tcW w:w="2205" w:type="dxa"/>
            <w:tcBorders>
              <w:top w:val="single" w:sz="6" w:space="0" w:color="auto"/>
              <w:left w:val="single" w:sz="6" w:space="0" w:color="auto"/>
              <w:bottom w:val="single" w:sz="6" w:space="0" w:color="auto"/>
              <w:right w:val="single" w:sz="6" w:space="0" w:color="auto"/>
            </w:tcBorders>
            <w:vAlign w:val="center"/>
            <w:hideMark/>
          </w:tcPr>
          <w:p w14:paraId="0F0C631E" w14:textId="77777777" w:rsidR="00CD24EB" w:rsidRPr="00D13B67" w:rsidRDefault="00CD24EB" w:rsidP="0080241A">
            <w:r w:rsidRPr="00D13B67">
              <w:t>"</w:t>
            </w:r>
            <w:proofErr w:type="gramStart"/>
            <w:r w:rsidRPr="00D13B67">
              <w:t>So</w:t>
            </w:r>
            <w:proofErr w:type="gramEnd"/>
            <w:r w:rsidRPr="00D13B67">
              <w:t> they don’t get overwhelmed" </w:t>
            </w:r>
          </w:p>
        </w:tc>
        <w:tc>
          <w:tcPr>
            <w:tcW w:w="2040" w:type="dxa"/>
            <w:tcBorders>
              <w:top w:val="single" w:sz="6" w:space="0" w:color="auto"/>
              <w:left w:val="single" w:sz="6" w:space="0" w:color="auto"/>
              <w:bottom w:val="single" w:sz="6" w:space="0" w:color="auto"/>
              <w:right w:val="single" w:sz="6" w:space="0" w:color="auto"/>
            </w:tcBorders>
            <w:vAlign w:val="center"/>
            <w:hideMark/>
          </w:tcPr>
          <w:p w14:paraId="69433450" w14:textId="77777777" w:rsidR="00CD24EB" w:rsidRPr="00D13B67" w:rsidRDefault="00CD24EB" w:rsidP="0080241A">
            <w:r w:rsidRPr="00D13B67">
              <w:t>Clarity, Mental Health Support </w:t>
            </w:r>
          </w:p>
        </w:tc>
      </w:tr>
      <w:tr w:rsidR="00CD24EB" w:rsidRPr="00D13B67" w14:paraId="1527D122" w14:textId="77777777">
        <w:trPr>
          <w:trHeight w:val="1125"/>
        </w:trPr>
        <w:tc>
          <w:tcPr>
            <w:tcW w:w="2610" w:type="dxa"/>
            <w:tcBorders>
              <w:top w:val="single" w:sz="6" w:space="0" w:color="auto"/>
              <w:left w:val="single" w:sz="6" w:space="0" w:color="auto"/>
              <w:bottom w:val="single" w:sz="6" w:space="0" w:color="auto"/>
              <w:right w:val="single" w:sz="6" w:space="0" w:color="auto"/>
            </w:tcBorders>
            <w:vAlign w:val="center"/>
            <w:hideMark/>
          </w:tcPr>
          <w:p w14:paraId="33E44D49" w14:textId="77777777" w:rsidR="00CD24EB" w:rsidRPr="00D13B67" w:rsidRDefault="00CD24EB" w:rsidP="0080241A">
            <w:pPr>
              <w:rPr>
                <w:rFonts w:ascii="Times New Roman" w:hAnsi="Times New Roman"/>
              </w:rPr>
            </w:pPr>
            <w:r w:rsidRPr="00D13B67">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5875C814" w14:textId="77777777" w:rsidR="00CD24EB" w:rsidRPr="00D13B67" w:rsidRDefault="00CD24EB" w:rsidP="0080241A">
            <w:pPr>
              <w:rPr>
                <w:rFonts w:ascii="Times New Roman" w:hAnsi="Times New Roman"/>
              </w:rPr>
            </w:pPr>
            <w:r w:rsidRPr="00D13B67">
              <w:t> </w:t>
            </w:r>
          </w:p>
        </w:tc>
        <w:tc>
          <w:tcPr>
            <w:tcW w:w="1935" w:type="dxa"/>
            <w:tcBorders>
              <w:top w:val="single" w:sz="6" w:space="0" w:color="auto"/>
              <w:left w:val="single" w:sz="6" w:space="0" w:color="auto"/>
              <w:bottom w:val="single" w:sz="6" w:space="0" w:color="auto"/>
              <w:right w:val="single" w:sz="6" w:space="0" w:color="auto"/>
            </w:tcBorders>
            <w:vAlign w:val="center"/>
            <w:hideMark/>
          </w:tcPr>
          <w:p w14:paraId="398989F2" w14:textId="77777777" w:rsidR="00CD24EB" w:rsidRPr="00D13B67" w:rsidRDefault="00CD24EB" w:rsidP="0080241A">
            <w:pPr>
              <w:rPr>
                <w:rFonts w:ascii="Times New Roman" w:hAnsi="Times New Roman"/>
              </w:rPr>
            </w:pPr>
            <w:r w:rsidRPr="00D13B67">
              <w:t> </w:t>
            </w:r>
          </w:p>
        </w:tc>
        <w:tc>
          <w:tcPr>
            <w:tcW w:w="2205" w:type="dxa"/>
            <w:tcBorders>
              <w:top w:val="single" w:sz="6" w:space="0" w:color="auto"/>
              <w:left w:val="single" w:sz="6" w:space="0" w:color="auto"/>
              <w:bottom w:val="single" w:sz="6" w:space="0" w:color="auto"/>
              <w:right w:val="single" w:sz="6" w:space="0" w:color="auto"/>
            </w:tcBorders>
            <w:vAlign w:val="center"/>
            <w:hideMark/>
          </w:tcPr>
          <w:p w14:paraId="6C7DEB38" w14:textId="77777777" w:rsidR="00CD24EB" w:rsidRPr="00D13B67" w:rsidRDefault="00CD24EB" w:rsidP="0080241A">
            <w:pPr>
              <w:rPr>
                <w:rFonts w:ascii="Times New Roman" w:hAnsi="Times New Roman"/>
              </w:rPr>
            </w:pPr>
            <w:r w:rsidRPr="00D13B67">
              <w:t> </w:t>
            </w:r>
          </w:p>
        </w:tc>
        <w:tc>
          <w:tcPr>
            <w:tcW w:w="2040" w:type="dxa"/>
            <w:tcBorders>
              <w:top w:val="single" w:sz="6" w:space="0" w:color="auto"/>
              <w:left w:val="single" w:sz="6" w:space="0" w:color="auto"/>
              <w:bottom w:val="single" w:sz="6" w:space="0" w:color="auto"/>
              <w:right w:val="single" w:sz="6" w:space="0" w:color="auto"/>
            </w:tcBorders>
            <w:vAlign w:val="center"/>
            <w:hideMark/>
          </w:tcPr>
          <w:p w14:paraId="35B5A92C" w14:textId="77777777" w:rsidR="00CD24EB" w:rsidRPr="00D13B67" w:rsidRDefault="00CD24EB" w:rsidP="0080241A">
            <w:pPr>
              <w:rPr>
                <w:rFonts w:ascii="Times New Roman" w:hAnsi="Times New Roman"/>
              </w:rPr>
            </w:pPr>
            <w:r w:rsidRPr="00D13B67">
              <w:t> </w:t>
            </w:r>
          </w:p>
        </w:tc>
      </w:tr>
      <w:tr w:rsidR="00CD24EB" w:rsidRPr="00D13B67" w14:paraId="50B8671D" w14:textId="77777777">
        <w:trPr>
          <w:trHeight w:val="1125"/>
        </w:trPr>
        <w:tc>
          <w:tcPr>
            <w:tcW w:w="2610" w:type="dxa"/>
            <w:tcBorders>
              <w:top w:val="single" w:sz="6" w:space="0" w:color="auto"/>
              <w:left w:val="single" w:sz="6" w:space="0" w:color="auto"/>
              <w:bottom w:val="single" w:sz="6" w:space="0" w:color="auto"/>
              <w:right w:val="single" w:sz="6" w:space="0" w:color="auto"/>
            </w:tcBorders>
            <w:vAlign w:val="center"/>
            <w:hideMark/>
          </w:tcPr>
          <w:p w14:paraId="338EB827" w14:textId="77777777" w:rsidR="00CD24EB" w:rsidRPr="00D13B67" w:rsidRDefault="00CD24EB" w:rsidP="0080241A">
            <w:pPr>
              <w:rPr>
                <w:rFonts w:ascii="Times New Roman" w:hAnsi="Times New Roman"/>
              </w:rPr>
            </w:pPr>
            <w:r w:rsidRPr="00D13B67">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053B8FDB" w14:textId="77777777" w:rsidR="00CD24EB" w:rsidRPr="00D13B67" w:rsidRDefault="00CD24EB" w:rsidP="0080241A">
            <w:pPr>
              <w:rPr>
                <w:rFonts w:ascii="Times New Roman" w:hAnsi="Times New Roman"/>
              </w:rPr>
            </w:pPr>
            <w:r w:rsidRPr="00D13B67">
              <w:t> </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90A764F" w14:textId="77777777" w:rsidR="00CD24EB" w:rsidRPr="00D13B67" w:rsidRDefault="00CD24EB" w:rsidP="0080241A">
            <w:pPr>
              <w:rPr>
                <w:rFonts w:ascii="Times New Roman" w:hAnsi="Times New Roman"/>
              </w:rPr>
            </w:pPr>
            <w:r w:rsidRPr="00D13B67">
              <w:t> </w:t>
            </w:r>
          </w:p>
        </w:tc>
        <w:tc>
          <w:tcPr>
            <w:tcW w:w="2205" w:type="dxa"/>
            <w:tcBorders>
              <w:top w:val="single" w:sz="6" w:space="0" w:color="auto"/>
              <w:left w:val="single" w:sz="6" w:space="0" w:color="auto"/>
              <w:bottom w:val="single" w:sz="6" w:space="0" w:color="auto"/>
              <w:right w:val="single" w:sz="6" w:space="0" w:color="auto"/>
            </w:tcBorders>
            <w:vAlign w:val="center"/>
            <w:hideMark/>
          </w:tcPr>
          <w:p w14:paraId="0169A5EC" w14:textId="77777777" w:rsidR="00CD24EB" w:rsidRPr="00D13B67" w:rsidRDefault="00CD24EB" w:rsidP="0080241A">
            <w:pPr>
              <w:rPr>
                <w:rFonts w:ascii="Times New Roman" w:hAnsi="Times New Roman"/>
              </w:rPr>
            </w:pPr>
            <w:r w:rsidRPr="00D13B67">
              <w:t> </w:t>
            </w:r>
          </w:p>
        </w:tc>
        <w:tc>
          <w:tcPr>
            <w:tcW w:w="2040" w:type="dxa"/>
            <w:tcBorders>
              <w:top w:val="single" w:sz="6" w:space="0" w:color="auto"/>
              <w:left w:val="single" w:sz="6" w:space="0" w:color="auto"/>
              <w:bottom w:val="single" w:sz="6" w:space="0" w:color="auto"/>
              <w:right w:val="single" w:sz="6" w:space="0" w:color="auto"/>
            </w:tcBorders>
            <w:vAlign w:val="center"/>
            <w:hideMark/>
          </w:tcPr>
          <w:p w14:paraId="4D0EED74" w14:textId="77777777" w:rsidR="00CD24EB" w:rsidRPr="00D13B67" w:rsidRDefault="00CD24EB" w:rsidP="0080241A">
            <w:pPr>
              <w:rPr>
                <w:rFonts w:ascii="Times New Roman" w:hAnsi="Times New Roman"/>
              </w:rPr>
            </w:pPr>
            <w:r w:rsidRPr="00D13B67">
              <w:t> </w:t>
            </w:r>
          </w:p>
        </w:tc>
      </w:tr>
      <w:tr w:rsidR="00CD24EB" w:rsidRPr="00D13B67" w14:paraId="1C01E6D3" w14:textId="77777777">
        <w:trPr>
          <w:trHeight w:val="1125"/>
        </w:trPr>
        <w:tc>
          <w:tcPr>
            <w:tcW w:w="2610" w:type="dxa"/>
            <w:tcBorders>
              <w:top w:val="single" w:sz="6" w:space="0" w:color="auto"/>
              <w:left w:val="single" w:sz="6" w:space="0" w:color="auto"/>
              <w:bottom w:val="single" w:sz="6" w:space="0" w:color="auto"/>
              <w:right w:val="single" w:sz="6" w:space="0" w:color="auto"/>
            </w:tcBorders>
            <w:vAlign w:val="center"/>
            <w:hideMark/>
          </w:tcPr>
          <w:p w14:paraId="4D589F06" w14:textId="77777777" w:rsidR="00CD24EB" w:rsidRPr="00D13B67" w:rsidRDefault="00CD24EB" w:rsidP="0080241A">
            <w:pPr>
              <w:rPr>
                <w:rFonts w:ascii="Times New Roman" w:hAnsi="Times New Roman"/>
              </w:rPr>
            </w:pPr>
            <w:r w:rsidRPr="00D13B67">
              <w:lastRenderedPageBreak/>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5BD97AB3" w14:textId="77777777" w:rsidR="00CD24EB" w:rsidRPr="00D13B67" w:rsidRDefault="00CD24EB" w:rsidP="0080241A">
            <w:pPr>
              <w:rPr>
                <w:rFonts w:ascii="Times New Roman" w:hAnsi="Times New Roman"/>
              </w:rPr>
            </w:pPr>
            <w:r w:rsidRPr="00D13B67">
              <w:t> </w:t>
            </w:r>
          </w:p>
        </w:tc>
        <w:tc>
          <w:tcPr>
            <w:tcW w:w="1935" w:type="dxa"/>
            <w:tcBorders>
              <w:top w:val="single" w:sz="6" w:space="0" w:color="auto"/>
              <w:left w:val="single" w:sz="6" w:space="0" w:color="auto"/>
              <w:bottom w:val="single" w:sz="6" w:space="0" w:color="auto"/>
              <w:right w:val="single" w:sz="6" w:space="0" w:color="auto"/>
            </w:tcBorders>
            <w:vAlign w:val="center"/>
            <w:hideMark/>
          </w:tcPr>
          <w:p w14:paraId="414516D8" w14:textId="77777777" w:rsidR="00CD24EB" w:rsidRPr="00D13B67" w:rsidRDefault="00CD24EB" w:rsidP="0080241A">
            <w:pPr>
              <w:rPr>
                <w:rFonts w:ascii="Times New Roman" w:hAnsi="Times New Roman"/>
              </w:rPr>
            </w:pPr>
            <w:r w:rsidRPr="00D13B67">
              <w:t> </w:t>
            </w:r>
          </w:p>
        </w:tc>
        <w:tc>
          <w:tcPr>
            <w:tcW w:w="2205" w:type="dxa"/>
            <w:tcBorders>
              <w:top w:val="single" w:sz="6" w:space="0" w:color="auto"/>
              <w:left w:val="single" w:sz="6" w:space="0" w:color="auto"/>
              <w:bottom w:val="single" w:sz="6" w:space="0" w:color="auto"/>
              <w:right w:val="single" w:sz="6" w:space="0" w:color="auto"/>
            </w:tcBorders>
            <w:vAlign w:val="center"/>
            <w:hideMark/>
          </w:tcPr>
          <w:p w14:paraId="128A32F0" w14:textId="77777777" w:rsidR="00CD24EB" w:rsidRPr="00D13B67" w:rsidRDefault="00CD24EB" w:rsidP="0080241A">
            <w:pPr>
              <w:rPr>
                <w:rFonts w:ascii="Times New Roman" w:hAnsi="Times New Roman"/>
              </w:rPr>
            </w:pPr>
            <w:r w:rsidRPr="00D13B67">
              <w:t> </w:t>
            </w:r>
          </w:p>
        </w:tc>
        <w:tc>
          <w:tcPr>
            <w:tcW w:w="2040" w:type="dxa"/>
            <w:tcBorders>
              <w:top w:val="single" w:sz="6" w:space="0" w:color="auto"/>
              <w:left w:val="single" w:sz="6" w:space="0" w:color="auto"/>
              <w:bottom w:val="single" w:sz="6" w:space="0" w:color="auto"/>
              <w:right w:val="single" w:sz="6" w:space="0" w:color="auto"/>
            </w:tcBorders>
            <w:vAlign w:val="center"/>
            <w:hideMark/>
          </w:tcPr>
          <w:p w14:paraId="5AD0EC30" w14:textId="77777777" w:rsidR="00CD24EB" w:rsidRPr="00D13B67" w:rsidRDefault="00CD24EB" w:rsidP="0080241A">
            <w:pPr>
              <w:rPr>
                <w:rFonts w:ascii="Times New Roman" w:hAnsi="Times New Roman"/>
              </w:rPr>
            </w:pPr>
            <w:r w:rsidRPr="00D13B67">
              <w:t> </w:t>
            </w:r>
          </w:p>
        </w:tc>
      </w:tr>
      <w:tr w:rsidR="00CD24EB" w:rsidRPr="00D13B67" w14:paraId="5EEC2F34" w14:textId="77777777">
        <w:trPr>
          <w:trHeight w:val="1125"/>
        </w:trPr>
        <w:tc>
          <w:tcPr>
            <w:tcW w:w="2610" w:type="dxa"/>
            <w:tcBorders>
              <w:top w:val="single" w:sz="6" w:space="0" w:color="auto"/>
              <w:left w:val="single" w:sz="6" w:space="0" w:color="auto"/>
              <w:bottom w:val="single" w:sz="6" w:space="0" w:color="auto"/>
              <w:right w:val="single" w:sz="6" w:space="0" w:color="auto"/>
            </w:tcBorders>
            <w:vAlign w:val="center"/>
            <w:hideMark/>
          </w:tcPr>
          <w:p w14:paraId="1000EA06" w14:textId="77777777" w:rsidR="00CD24EB" w:rsidRPr="00D13B67" w:rsidRDefault="00CD24EB" w:rsidP="0080241A">
            <w:pPr>
              <w:rPr>
                <w:rFonts w:ascii="Times New Roman" w:hAnsi="Times New Roman"/>
              </w:rPr>
            </w:pPr>
            <w:r w:rsidRPr="00D13B67">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0E1E9298" w14:textId="77777777" w:rsidR="00CD24EB" w:rsidRPr="00D13B67" w:rsidRDefault="00CD24EB" w:rsidP="0080241A">
            <w:pPr>
              <w:rPr>
                <w:rFonts w:ascii="Times New Roman" w:hAnsi="Times New Roman"/>
              </w:rPr>
            </w:pPr>
            <w:r w:rsidRPr="00D13B67">
              <w:t> </w:t>
            </w:r>
          </w:p>
        </w:tc>
        <w:tc>
          <w:tcPr>
            <w:tcW w:w="1935" w:type="dxa"/>
            <w:tcBorders>
              <w:top w:val="single" w:sz="6" w:space="0" w:color="auto"/>
              <w:left w:val="single" w:sz="6" w:space="0" w:color="auto"/>
              <w:bottom w:val="single" w:sz="6" w:space="0" w:color="auto"/>
              <w:right w:val="single" w:sz="6" w:space="0" w:color="auto"/>
            </w:tcBorders>
            <w:vAlign w:val="center"/>
            <w:hideMark/>
          </w:tcPr>
          <w:p w14:paraId="45EA7D5A" w14:textId="77777777" w:rsidR="00CD24EB" w:rsidRPr="00D13B67" w:rsidRDefault="00CD24EB" w:rsidP="0080241A">
            <w:pPr>
              <w:rPr>
                <w:rFonts w:ascii="Times New Roman" w:hAnsi="Times New Roman"/>
              </w:rPr>
            </w:pPr>
            <w:r w:rsidRPr="00D13B67">
              <w:t> </w:t>
            </w:r>
          </w:p>
        </w:tc>
        <w:tc>
          <w:tcPr>
            <w:tcW w:w="2205" w:type="dxa"/>
            <w:tcBorders>
              <w:top w:val="single" w:sz="6" w:space="0" w:color="auto"/>
              <w:left w:val="single" w:sz="6" w:space="0" w:color="auto"/>
              <w:bottom w:val="single" w:sz="6" w:space="0" w:color="auto"/>
              <w:right w:val="single" w:sz="6" w:space="0" w:color="auto"/>
            </w:tcBorders>
            <w:vAlign w:val="center"/>
            <w:hideMark/>
          </w:tcPr>
          <w:p w14:paraId="4FD7BF02" w14:textId="77777777" w:rsidR="00CD24EB" w:rsidRPr="00D13B67" w:rsidRDefault="00CD24EB" w:rsidP="0080241A">
            <w:pPr>
              <w:rPr>
                <w:rFonts w:ascii="Times New Roman" w:hAnsi="Times New Roman"/>
              </w:rPr>
            </w:pPr>
            <w:r w:rsidRPr="00D13B67">
              <w:t> </w:t>
            </w:r>
          </w:p>
        </w:tc>
        <w:tc>
          <w:tcPr>
            <w:tcW w:w="2040" w:type="dxa"/>
            <w:tcBorders>
              <w:top w:val="single" w:sz="6" w:space="0" w:color="auto"/>
              <w:left w:val="single" w:sz="6" w:space="0" w:color="auto"/>
              <w:bottom w:val="single" w:sz="6" w:space="0" w:color="auto"/>
              <w:right w:val="single" w:sz="6" w:space="0" w:color="auto"/>
            </w:tcBorders>
            <w:vAlign w:val="center"/>
            <w:hideMark/>
          </w:tcPr>
          <w:p w14:paraId="22C79D59" w14:textId="77777777" w:rsidR="00CD24EB" w:rsidRPr="00D13B67" w:rsidRDefault="00CD24EB" w:rsidP="0080241A">
            <w:pPr>
              <w:rPr>
                <w:rFonts w:ascii="Times New Roman" w:hAnsi="Times New Roman"/>
              </w:rPr>
            </w:pPr>
            <w:r w:rsidRPr="00D13B67">
              <w:t> </w:t>
            </w:r>
          </w:p>
        </w:tc>
      </w:tr>
    </w:tbl>
    <w:p w14:paraId="25DBCFDC" w14:textId="77777777" w:rsidR="00CD24EB" w:rsidRPr="00D13B67" w:rsidRDefault="00CD24EB" w:rsidP="0080241A">
      <w:pPr>
        <w:pStyle w:val="ListParagraph"/>
        <w:numPr>
          <w:ilvl w:val="0"/>
          <w:numId w:val="6"/>
        </w:numPr>
      </w:pPr>
      <w:r w:rsidRPr="00D13B67">
        <w:t>Potential </w:t>
      </w:r>
      <w:proofErr w:type="gramStart"/>
      <w:r w:rsidRPr="00D13B67">
        <w:t>follow</w:t>
      </w:r>
      <w:proofErr w:type="gramEnd"/>
      <w:r w:rsidRPr="00D13B67">
        <w:t> up: “Other than you, who would benefit from this?”</w:t>
      </w:r>
      <w:r w:rsidRPr="00D13B67">
        <w:rPr>
          <w:rFonts w:ascii="Segoe UI" w:hAnsi="Segoe UI"/>
          <w:color w:val="666666"/>
          <w:sz w:val="18"/>
          <w:szCs w:val="18"/>
          <w:shd w:val="clear" w:color="auto" w:fill="FFFFFF"/>
        </w:rPr>
        <w:t> </w:t>
      </w:r>
      <w:r w:rsidRPr="00D13B67">
        <w:t> </w:t>
      </w:r>
    </w:p>
    <w:p w14:paraId="7CC1E8F6" w14:textId="77777777" w:rsidR="00CD24EB" w:rsidRPr="00D13B67" w:rsidRDefault="00CD24EB" w:rsidP="0080241A">
      <w:pPr>
        <w:rPr>
          <w:rFonts w:ascii="Segoe UI" w:hAnsi="Segoe UI"/>
          <w:sz w:val="18"/>
          <w:szCs w:val="18"/>
        </w:rPr>
      </w:pPr>
      <w:r w:rsidRPr="00D13B67">
        <w:t>Problem Reversal </w:t>
      </w:r>
    </w:p>
    <w:p w14:paraId="36130E7E" w14:textId="77777777" w:rsidR="00CD24EB" w:rsidRPr="00D13B67" w:rsidRDefault="00CD24EB" w:rsidP="00CD24EB">
      <w:pPr>
        <w:rPr>
          <w:rFonts w:ascii="Segoe UI" w:hAnsi="Segoe UI"/>
          <w:sz w:val="18"/>
          <w:szCs w:val="18"/>
        </w:rPr>
      </w:pPr>
      <w:r w:rsidRPr="00D13B67">
        <w:t>A problem reversal is an exercise in which one </w:t>
      </w:r>
      <w:r w:rsidRPr="00D13B67">
        <w:rPr>
          <w:b/>
        </w:rPr>
        <w:t>lists all the ways to make something worse</w:t>
      </w:r>
      <w:r w:rsidRPr="00D13B67">
        <w:t>. The intention here is to flip flop results (e.g., If we want to make things more accessible, think about how we’d make them less accessible). This can expose ideas, trends, or patterns that may be overlooked when approaching the problem as it currently is. </w:t>
      </w:r>
      <w:hyperlink r:id="rId261" w:tgtFrame="_blank" w:history="1">
        <w:r w:rsidRPr="00D13B67">
          <w:rPr>
            <w:color w:val="0000FF"/>
            <w:u w:val="single"/>
          </w:rPr>
          <w:t>Inversion | </w:t>
        </w:r>
        <w:proofErr w:type="spellStart"/>
        <w:r w:rsidRPr="00D13B67">
          <w:rPr>
            <w:color w:val="0000FF"/>
            <w:u w:val="single"/>
          </w:rPr>
          <w:t>Untools</w:t>
        </w:r>
        <w:proofErr w:type="spellEnd"/>
      </w:hyperlink>
      <w:r w:rsidRPr="00D13B67">
        <w:t> </w:t>
      </w:r>
    </w:p>
    <w:p w14:paraId="141FCB9F" w14:textId="77777777" w:rsidR="00CD24EB" w:rsidRPr="00D13B67" w:rsidRDefault="00CD24EB" w:rsidP="0080241A">
      <w:pPr>
        <w:rPr>
          <w:rFonts w:ascii="Segoe UI" w:hAnsi="Segoe UI"/>
          <w:sz w:val="18"/>
          <w:szCs w:val="18"/>
        </w:rPr>
      </w:pPr>
      <w:r w:rsidRPr="00D13B67">
        <w:t>3 ideas </w:t>
      </w:r>
    </w:p>
    <w:p w14:paraId="22D3500E" w14:textId="77777777" w:rsidR="00CD24EB" w:rsidRPr="00D13B67" w:rsidRDefault="00CD24EB" w:rsidP="00CD24EB">
      <w:pPr>
        <w:rPr>
          <w:rFonts w:ascii="Segoe UI" w:hAnsi="Segoe UI"/>
          <w:sz w:val="18"/>
          <w:szCs w:val="18"/>
        </w:rPr>
      </w:pPr>
      <w:r w:rsidRPr="00D13B67">
        <w:t>By approaching a problem with suggestions for a </w:t>
      </w:r>
      <w:r w:rsidRPr="00D13B67">
        <w:rPr>
          <w:b/>
        </w:rPr>
        <w:t>band-aid, practical, and radical</w:t>
      </w:r>
      <w:r w:rsidRPr="00D13B67">
        <w:t> solution offers a rapid prototyping and brainstorming method. For example: a band-aid for inaccessible readings is remediation, a practical solution is to train staff to choose accessible content, and a radical solution is to use AI to remediate content in real time. </w:t>
      </w:r>
    </w:p>
    <w:p w14:paraId="1FB2F2E5" w14:textId="77777777" w:rsidR="00CD24EB" w:rsidRPr="00D13B67" w:rsidRDefault="00CD24EB" w:rsidP="0080241A">
      <w:pPr>
        <w:rPr>
          <w:rFonts w:ascii="Segoe UI" w:hAnsi="Segoe UI"/>
          <w:sz w:val="18"/>
          <w:szCs w:val="18"/>
        </w:rPr>
      </w:pPr>
      <w:r w:rsidRPr="00D13B67">
        <w:t>Concept Fan </w:t>
      </w:r>
    </w:p>
    <w:p w14:paraId="2F1CEB72" w14:textId="77777777" w:rsidR="00CD24EB" w:rsidRPr="00D13B67" w:rsidRDefault="00CD24EB" w:rsidP="00CD24EB">
      <w:pPr>
        <w:rPr>
          <w:rFonts w:ascii="Segoe UI" w:hAnsi="Segoe UI"/>
          <w:sz w:val="18"/>
          <w:szCs w:val="18"/>
        </w:rPr>
      </w:pPr>
      <w:r w:rsidRPr="00D13B67">
        <w:t>A concept fan may be employed to </w:t>
      </w:r>
      <w:r w:rsidRPr="00D13B67">
        <w:rPr>
          <w:b/>
        </w:rPr>
        <w:t>move from addressing individual issues to tackling the source</w:t>
      </w:r>
      <w:r w:rsidRPr="00D13B67">
        <w:t> of individual issues. For example: </w:t>
      </w:r>
    </w:p>
    <w:p w14:paraId="03814D5C" w14:textId="77777777" w:rsidR="00CD24EB" w:rsidRPr="00D13B67" w:rsidRDefault="00CD24EB" w:rsidP="00CD24EB">
      <w:pPr>
        <w:rPr>
          <w:rFonts w:ascii="Segoe UI" w:hAnsi="Segoe UI"/>
          <w:sz w:val="18"/>
          <w:szCs w:val="18"/>
        </w:rPr>
      </w:pPr>
      <w:r w:rsidRPr="00D13B67">
        <w:t>“Make readings more accessible” could be solved by training instructors, using AI, etc. But when no more ideas are generated, move up a level to: “inaccessible file formats” which could address “make readings more accessible” but by targeting root causes. </w:t>
      </w:r>
    </w:p>
    <w:p w14:paraId="128166D7" w14:textId="77777777" w:rsidR="00CD24EB" w:rsidRPr="00D13B67" w:rsidRDefault="00CD24EB" w:rsidP="00CD24EB">
      <w:pPr>
        <w:rPr>
          <w:rFonts w:ascii="Segoe UI" w:hAnsi="Segoe UI"/>
          <w:sz w:val="18"/>
          <w:szCs w:val="18"/>
        </w:rPr>
      </w:pPr>
      <w:hyperlink r:id="rId262" w:tgtFrame="_blank" w:history="1">
        <w:r w:rsidRPr="00D13B67">
          <w:rPr>
            <w:color w:val="0000FF"/>
            <w:u w:val="single"/>
          </w:rPr>
          <w:t>Ishikawa Diagram | </w:t>
        </w:r>
        <w:proofErr w:type="spellStart"/>
        <w:r w:rsidRPr="00D13B67">
          <w:rPr>
            <w:color w:val="0000FF"/>
            <w:u w:val="single"/>
          </w:rPr>
          <w:t>Untools</w:t>
        </w:r>
        <w:proofErr w:type="spellEnd"/>
      </w:hyperlink>
      <w:r w:rsidRPr="00D13B67">
        <w:t> </w:t>
      </w:r>
    </w:p>
    <w:p w14:paraId="0953043A" w14:textId="76117AA4" w:rsidR="00CD24EB" w:rsidRPr="00D13B67" w:rsidRDefault="00CD24EB" w:rsidP="0080241A">
      <w:r w:rsidRPr="00D13B67">
        <w:rPr>
          <w:noProof/>
        </w:rPr>
        <w:drawing>
          <wp:inline distT="0" distB="0" distL="0" distR="0" wp14:anchorId="4F91B065" wp14:editId="0EB95B53">
            <wp:extent cx="5943600" cy="1129665"/>
            <wp:effectExtent l="0" t="0" r="0" b="0"/>
            <wp:docPr id="681301701" name="Picture 25" descr="P123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01701" name="Picture 25" descr="P1232#yIS1">
                      <a:extLst>
                        <a:ext uri="{C183D7F6-B498-43B3-948B-1728B52AA6E4}">
                          <adec:decorative xmlns:adec="http://schemas.microsoft.com/office/drawing/2017/decorative" val="1"/>
                        </a:ext>
                      </a:extLst>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43600" cy="1129665"/>
                    </a:xfrm>
                    <a:prstGeom prst="rect">
                      <a:avLst/>
                    </a:prstGeom>
                    <a:noFill/>
                    <a:ln>
                      <a:noFill/>
                    </a:ln>
                  </pic:spPr>
                </pic:pic>
              </a:graphicData>
            </a:graphic>
          </wp:inline>
        </w:drawing>
      </w:r>
      <w:r w:rsidRPr="00D13B67">
        <w:rPr>
          <w:rFonts w:ascii="Arial Nova" w:hAnsi="Arial Nova"/>
        </w:rPr>
        <w:t> </w:t>
      </w:r>
    </w:p>
    <w:p w14:paraId="50D5C870" w14:textId="77777777" w:rsidR="00CD24EB" w:rsidRPr="00D13B67" w:rsidRDefault="00CD24EB" w:rsidP="00CD24EB">
      <w:pPr>
        <w:rPr>
          <w:rFonts w:ascii="Segoe UI" w:hAnsi="Segoe UI"/>
          <w:sz w:val="18"/>
          <w:szCs w:val="18"/>
        </w:rPr>
      </w:pPr>
      <w:r w:rsidRPr="00D13B67">
        <w:t>Potential talking points/cues: </w:t>
      </w:r>
    </w:p>
    <w:p w14:paraId="34774056" w14:textId="77777777" w:rsidR="00CD24EB" w:rsidRPr="00D13B67" w:rsidRDefault="00CD24EB" w:rsidP="00CD24EB">
      <w:pPr>
        <w:rPr>
          <w:rFonts w:ascii="Segoe UI" w:hAnsi="Segoe UI"/>
          <w:sz w:val="18"/>
          <w:szCs w:val="18"/>
        </w:rPr>
      </w:pPr>
      <w:r w:rsidRPr="00D13B67">
        <w:t>“'taking a step back' to get a broader viewpoint. Initially, the Concept Fan requires you to draw a circle in the middle of a large piece of paper. Write the problem you are trying to solve in the circle. To the right of it radiate lines representing possible solutions to the problem see the diagram below:”  </w:t>
      </w:r>
    </w:p>
    <w:p w14:paraId="5DEC004D" w14:textId="77777777" w:rsidR="00CD24EB" w:rsidRPr="00D13B67" w:rsidRDefault="00CD24EB" w:rsidP="00CD24EB">
      <w:pPr>
        <w:rPr>
          <w:rFonts w:ascii="Segoe UI" w:hAnsi="Segoe UI"/>
          <w:sz w:val="18"/>
          <w:szCs w:val="18"/>
        </w:rPr>
      </w:pPr>
      <w:r w:rsidRPr="00D13B67">
        <w:lastRenderedPageBreak/>
        <w:t>“Drawing a circle to the left of the first circle does this, writing the broader definition into this new circle and linking it with an arrow to show that it comes from the first circle” </w:t>
      </w:r>
    </w:p>
    <w:p w14:paraId="41D47ABD" w14:textId="77777777" w:rsidR="00CD24EB" w:rsidRPr="00D13B67" w:rsidRDefault="00CD24EB" w:rsidP="00CD24EB">
      <w:pPr>
        <w:rPr>
          <w:rFonts w:ascii="Segoe UI" w:hAnsi="Segoe UI"/>
          <w:sz w:val="18"/>
          <w:szCs w:val="18"/>
        </w:rPr>
      </w:pPr>
      <w:r w:rsidRPr="00D13B67">
        <w:t>“Use this as a starting point to radiate out other ideas”  </w:t>
      </w:r>
    </w:p>
    <w:p w14:paraId="0F758CAA" w14:textId="77777777" w:rsidR="00CD24EB" w:rsidRPr="00D13B67" w:rsidRDefault="00CD24EB" w:rsidP="0080241A">
      <w:pPr>
        <w:rPr>
          <w:rFonts w:ascii="Segoe UI" w:hAnsi="Segoe UI"/>
          <w:sz w:val="18"/>
          <w:szCs w:val="18"/>
        </w:rPr>
      </w:pPr>
      <w:r w:rsidRPr="00D13B67">
        <w:t> </w:t>
      </w:r>
    </w:p>
    <w:p w14:paraId="2BA20DBB" w14:textId="77777777" w:rsidR="00CD24EB" w:rsidRPr="00D13B67" w:rsidRDefault="00CD24EB" w:rsidP="0080241A">
      <w:pPr>
        <w:rPr>
          <w:rFonts w:ascii="Segoe UI" w:hAnsi="Segoe UI"/>
          <w:sz w:val="18"/>
          <w:szCs w:val="18"/>
        </w:rPr>
      </w:pPr>
      <w:r w:rsidRPr="00D13B67">
        <w:t>Quad Ideation </w:t>
      </w:r>
    </w:p>
    <w:p w14:paraId="02F58CB7" w14:textId="77777777" w:rsidR="00CD24EB" w:rsidRPr="00D13B67" w:rsidRDefault="00CD24EB" w:rsidP="00CD24EB">
      <w:pPr>
        <w:rPr>
          <w:rFonts w:ascii="Segoe UI" w:hAnsi="Segoe UI" w:cs="Segoe UI"/>
          <w:sz w:val="18"/>
          <w:szCs w:val="18"/>
        </w:rPr>
      </w:pPr>
      <w:r w:rsidRPr="00D13B67">
        <w:rPr>
          <w:rFonts w:ascii="Arial Nova" w:hAnsi="Arial Nova" w:cs="Segoe UI"/>
        </w:rPr>
        <w:t>A </w:t>
      </w:r>
      <w:r w:rsidRPr="00D13B67">
        <w:t>quad ideation is a 2x2 grid in which a problem is addressed, and a potential solution is proposed. This can be used for rapid prototyping and sketching ideas.</w:t>
      </w:r>
      <w:r w:rsidRPr="00D13B67">
        <w:rPr>
          <w:rFonts w:ascii="Arial Nova" w:hAnsi="Arial Nov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33"/>
        <w:gridCol w:w="4611"/>
      </w:tblGrid>
      <w:tr w:rsidR="00CD24EB" w:rsidRPr="00D13B67" w14:paraId="64878DD3" w14:textId="77777777">
        <w:trPr>
          <w:trHeight w:val="5655"/>
        </w:trPr>
        <w:tc>
          <w:tcPr>
            <w:tcW w:w="5400" w:type="dxa"/>
            <w:tcBorders>
              <w:top w:val="single" w:sz="6" w:space="0" w:color="auto"/>
              <w:left w:val="single" w:sz="6" w:space="0" w:color="auto"/>
              <w:bottom w:val="single" w:sz="6" w:space="0" w:color="auto"/>
              <w:right w:val="single" w:sz="6" w:space="0" w:color="auto"/>
            </w:tcBorders>
            <w:hideMark/>
          </w:tcPr>
          <w:p w14:paraId="2123EA6D" w14:textId="77777777" w:rsidR="00CD24EB" w:rsidRPr="00D13B67" w:rsidRDefault="00CD24EB" w:rsidP="00CD24EB">
            <w:pPr>
              <w:rPr>
                <w:rFonts w:ascii="Times New Roman" w:hAnsi="Times New Roman"/>
              </w:rPr>
            </w:pPr>
            <w:r w:rsidRPr="00D13B67">
              <w:t>Problem/sketch </w:t>
            </w:r>
          </w:p>
        </w:tc>
        <w:tc>
          <w:tcPr>
            <w:tcW w:w="5400" w:type="dxa"/>
            <w:tcBorders>
              <w:top w:val="single" w:sz="6" w:space="0" w:color="auto"/>
              <w:left w:val="single" w:sz="6" w:space="0" w:color="auto"/>
              <w:bottom w:val="single" w:sz="6" w:space="0" w:color="auto"/>
              <w:right w:val="single" w:sz="6" w:space="0" w:color="auto"/>
            </w:tcBorders>
            <w:hideMark/>
          </w:tcPr>
          <w:p w14:paraId="79E515F0" w14:textId="77777777" w:rsidR="00CD24EB" w:rsidRPr="00D13B67" w:rsidRDefault="00CD24EB" w:rsidP="00CD24EB">
            <w:pPr>
              <w:rPr>
                <w:rFonts w:ascii="Times New Roman" w:hAnsi="Times New Roman"/>
              </w:rPr>
            </w:pPr>
            <w:r w:rsidRPr="00D13B67">
              <w:t>Audience </w:t>
            </w:r>
          </w:p>
        </w:tc>
      </w:tr>
      <w:tr w:rsidR="00CD24EB" w:rsidRPr="00D13B67" w14:paraId="354528F7" w14:textId="77777777">
        <w:trPr>
          <w:trHeight w:val="5655"/>
        </w:trPr>
        <w:tc>
          <w:tcPr>
            <w:tcW w:w="5400" w:type="dxa"/>
            <w:tcBorders>
              <w:top w:val="single" w:sz="6" w:space="0" w:color="auto"/>
              <w:left w:val="single" w:sz="6" w:space="0" w:color="auto"/>
              <w:bottom w:val="single" w:sz="6" w:space="0" w:color="auto"/>
              <w:right w:val="single" w:sz="6" w:space="0" w:color="auto"/>
            </w:tcBorders>
            <w:hideMark/>
          </w:tcPr>
          <w:p w14:paraId="3F58B83C" w14:textId="77777777" w:rsidR="00CD24EB" w:rsidRPr="00D13B67" w:rsidRDefault="00CD24EB" w:rsidP="00CD24EB">
            <w:pPr>
              <w:rPr>
                <w:rFonts w:ascii="Times New Roman" w:hAnsi="Times New Roman"/>
              </w:rPr>
            </w:pPr>
            <w:r w:rsidRPr="00D13B67">
              <w:lastRenderedPageBreak/>
              <w:t>Problem statement </w:t>
            </w:r>
          </w:p>
        </w:tc>
        <w:tc>
          <w:tcPr>
            <w:tcW w:w="5400" w:type="dxa"/>
            <w:tcBorders>
              <w:top w:val="single" w:sz="6" w:space="0" w:color="auto"/>
              <w:left w:val="single" w:sz="6" w:space="0" w:color="auto"/>
              <w:bottom w:val="single" w:sz="6" w:space="0" w:color="auto"/>
              <w:right w:val="single" w:sz="6" w:space="0" w:color="auto"/>
            </w:tcBorders>
            <w:hideMark/>
          </w:tcPr>
          <w:p w14:paraId="49A0B4CE" w14:textId="77777777" w:rsidR="00CD24EB" w:rsidRPr="00D13B67" w:rsidRDefault="00CD24EB" w:rsidP="00CD24EB">
            <w:pPr>
              <w:rPr>
                <w:rFonts w:ascii="Times New Roman" w:hAnsi="Times New Roman"/>
              </w:rPr>
            </w:pPr>
            <w:r w:rsidRPr="00D13B67">
              <w:t>Potential solution </w:t>
            </w:r>
          </w:p>
        </w:tc>
      </w:tr>
    </w:tbl>
    <w:p w14:paraId="39415550" w14:textId="77777777" w:rsidR="00CD24EB" w:rsidRPr="00D13B67" w:rsidRDefault="00CD24EB" w:rsidP="0080241A">
      <w:pPr>
        <w:rPr>
          <w:rFonts w:ascii="Segoe UI" w:hAnsi="Segoe UI"/>
          <w:sz w:val="18"/>
          <w:szCs w:val="18"/>
        </w:rPr>
      </w:pPr>
      <w:r w:rsidRPr="00D13B67">
        <w:t> </w:t>
      </w:r>
    </w:p>
    <w:p w14:paraId="1A729FC7" w14:textId="77777777" w:rsidR="00CD24EB" w:rsidRPr="00D13B67" w:rsidRDefault="00CD24EB" w:rsidP="0080241A">
      <w:pPr>
        <w:rPr>
          <w:rFonts w:ascii="Segoe UI" w:hAnsi="Segoe UI"/>
          <w:sz w:val="18"/>
          <w:szCs w:val="18"/>
        </w:rPr>
      </w:pPr>
      <w:r w:rsidRPr="00D13B67">
        <w:t>Inclusive Design Map </w:t>
      </w:r>
    </w:p>
    <w:p w14:paraId="3A68543C" w14:textId="77777777" w:rsidR="00CD24EB" w:rsidRPr="00D13B67" w:rsidRDefault="00CD24EB" w:rsidP="00CD24EB">
      <w:pPr>
        <w:rPr>
          <w:rFonts w:ascii="Segoe UI" w:hAnsi="Segoe UI"/>
          <w:sz w:val="18"/>
          <w:szCs w:val="18"/>
        </w:rPr>
      </w:pPr>
      <w:r w:rsidRPr="00D13B67">
        <w:t>An inclusive design map is an exercise in which a user's experience is “mapped” relative to the product. Each of these will be different depending on the participant and learning material discussed. </w:t>
      </w:r>
    </w:p>
    <w:p w14:paraId="4F744B73" w14:textId="77777777" w:rsidR="00CD24EB" w:rsidRPr="00D13B67" w:rsidRDefault="00CD24EB" w:rsidP="00CD24EB">
      <w:pPr>
        <w:rPr>
          <w:rFonts w:ascii="Segoe UI" w:hAnsi="Segoe UI"/>
          <w:sz w:val="18"/>
          <w:szCs w:val="18"/>
        </w:rPr>
      </w:pPr>
      <w:r w:rsidRPr="00D13B67">
        <w:t>Talking points: </w:t>
      </w:r>
    </w:p>
    <w:p w14:paraId="3B7F69D2" w14:textId="77777777" w:rsidR="00CD24EB" w:rsidRPr="00D13B67" w:rsidRDefault="00CD24EB" w:rsidP="00CD24EB">
      <w:pPr>
        <w:rPr>
          <w:rFonts w:ascii="Segoe UI" w:hAnsi="Segoe UI"/>
          <w:sz w:val="18"/>
          <w:szCs w:val="18"/>
        </w:rPr>
      </w:pPr>
      <w:r w:rsidRPr="00D13B67">
        <w:t>“Let’s try an activity that helps map your personal experience with different types of digital learning materials (for example: Brightspace pages, PDFs, videos, scanned readings, forms, or online quizzes).” </w:t>
      </w:r>
    </w:p>
    <w:p w14:paraId="220B7E79" w14:textId="77777777" w:rsidR="00CD24EB" w:rsidRPr="00D13B67" w:rsidRDefault="00CD24EB" w:rsidP="00CD24EB">
      <w:pPr>
        <w:rPr>
          <w:rFonts w:ascii="Segoe UI" w:hAnsi="Segoe UI"/>
          <w:sz w:val="18"/>
          <w:szCs w:val="18"/>
        </w:rPr>
      </w:pPr>
      <w:r w:rsidRPr="00D13B67">
        <w:t>OR </w:t>
      </w:r>
    </w:p>
    <w:p w14:paraId="2DFFB1FD" w14:textId="77777777" w:rsidR="00CD24EB" w:rsidRPr="00D13B67" w:rsidRDefault="00CD24EB" w:rsidP="00CD24EB">
      <w:pPr>
        <w:rPr>
          <w:rFonts w:ascii="Segoe UI" w:hAnsi="Segoe UI"/>
          <w:sz w:val="18"/>
          <w:szCs w:val="18"/>
        </w:rPr>
      </w:pPr>
      <w:r w:rsidRPr="00D13B67">
        <w:t>“Let’s try an activity that helps map your personal experience with different types of digital learning content (readings, videos, Brightspace content, etc.) </w:t>
      </w:r>
    </w:p>
    <w:p w14:paraId="455BFC12" w14:textId="77777777" w:rsidR="00CD24EB" w:rsidRPr="00D13B67" w:rsidRDefault="00CD24EB" w:rsidP="00CD24EB">
      <w:pPr>
        <w:rPr>
          <w:rFonts w:ascii="Segoe UI" w:hAnsi="Segoe UI"/>
          <w:sz w:val="18"/>
          <w:szCs w:val="18"/>
        </w:rPr>
      </w:pPr>
      <w:r w:rsidRPr="00D13B67">
        <w:t>For each one:” </w:t>
      </w:r>
    </w:p>
    <w:p w14:paraId="74E20B1D" w14:textId="77777777" w:rsidR="00CD24EB" w:rsidRPr="00D13B67" w:rsidRDefault="00CD24EB" w:rsidP="00A9524C">
      <w:pPr>
        <w:pStyle w:val="ListParagraph"/>
        <w:numPr>
          <w:ilvl w:val="0"/>
          <w:numId w:val="14"/>
        </w:numPr>
      </w:pPr>
      <w:r w:rsidRPr="00D13B67">
        <w:t>“Think about how well it works for you. </w:t>
      </w:r>
    </w:p>
    <w:p w14:paraId="1ED149CE" w14:textId="77777777" w:rsidR="00CD24EB" w:rsidRPr="00D13B67" w:rsidRDefault="00CD24EB" w:rsidP="00A9524C">
      <w:pPr>
        <w:pStyle w:val="ListParagraph"/>
        <w:numPr>
          <w:ilvl w:val="0"/>
          <w:numId w:val="14"/>
        </w:numPr>
      </w:pPr>
      <w:r w:rsidRPr="00D13B67">
        <w:t>If it’s something you can’t use, mark it in that field. So, if for your readings you can’t use scanned PDFs because your read aloud software won’t work with it, you’d write that down. </w:t>
      </w:r>
    </w:p>
    <w:p w14:paraId="5E091776" w14:textId="77777777" w:rsidR="00CD24EB" w:rsidRPr="00D13B67" w:rsidRDefault="00CD24EB" w:rsidP="00A9524C">
      <w:pPr>
        <w:pStyle w:val="ListParagraph"/>
        <w:numPr>
          <w:ilvl w:val="0"/>
          <w:numId w:val="14"/>
        </w:numPr>
      </w:pPr>
      <w:r w:rsidRPr="00D13B67">
        <w:t>If you don’t like it, such as say an “accessible PDF” which won’t zoom and sometimes gets confused about columns, but you can use it mark it there. </w:t>
      </w:r>
    </w:p>
    <w:p w14:paraId="1DD5E97A" w14:textId="77777777" w:rsidR="00CD24EB" w:rsidRPr="00D13B67" w:rsidRDefault="00CD24EB" w:rsidP="00A9524C">
      <w:pPr>
        <w:pStyle w:val="ListParagraph"/>
        <w:numPr>
          <w:ilvl w:val="0"/>
          <w:numId w:val="14"/>
        </w:numPr>
      </w:pPr>
      <w:r w:rsidRPr="00D13B67">
        <w:t>If you like it and use it, mark it there. Such as “readings from the library or web pages”” </w:t>
      </w:r>
    </w:p>
    <w:p w14:paraId="326ABE78" w14:textId="77777777" w:rsidR="00CD24EB" w:rsidRPr="00D13B67" w:rsidRDefault="00CD24EB" w:rsidP="00CD24EB">
      <w:pPr>
        <w:rPr>
          <w:rFonts w:ascii="Segoe UI" w:hAnsi="Segoe UI"/>
          <w:sz w:val="18"/>
          <w:szCs w:val="18"/>
        </w:rPr>
      </w:pPr>
      <w:r w:rsidRPr="00D13B67">
        <w:lastRenderedPageBreak/>
        <w:t>“Feel free to add why something is difficult or helpful—whether that’s due to layout, missing features, emotional impact, or something else.” </w:t>
      </w:r>
    </w:p>
    <w:p w14:paraId="4419D091" w14:textId="77777777" w:rsidR="00CD24EB" w:rsidRPr="00D13B67" w:rsidRDefault="00CD24EB" w:rsidP="00CD24EB">
      <w:pPr>
        <w:rPr>
          <w:rFonts w:ascii="Segoe UI" w:hAnsi="Segoe UI"/>
          <w:sz w:val="18"/>
          <w:szCs w:val="18"/>
        </w:rPr>
      </w:pPr>
      <w:r w:rsidRPr="00D13B67">
        <w:t>Many responses can be refined by using</w:t>
      </w:r>
      <w:r w:rsidRPr="00D13B67">
        <w:rPr>
          <w:b/>
        </w:rPr>
        <w:t> Why </w:t>
      </w:r>
      <w:proofErr w:type="spellStart"/>
      <w:r w:rsidRPr="00D13B67">
        <w:rPr>
          <w:b/>
        </w:rPr>
        <w:t>why</w:t>
      </w:r>
      <w:proofErr w:type="spellEnd"/>
      <w:r w:rsidRPr="00D13B67">
        <w:rPr>
          <w:b/>
        </w:rPr>
        <w:t> </w:t>
      </w:r>
      <w:proofErr w:type="spellStart"/>
      <w:r w:rsidRPr="00D13B67">
        <w:rPr>
          <w:b/>
        </w:rPr>
        <w:t>why</w:t>
      </w:r>
      <w:proofErr w:type="spellEnd"/>
      <w:r w:rsidRPr="00D13B67">
        <w:rPr>
          <w:b/>
        </w:rPr>
        <w:t> </w:t>
      </w:r>
      <w:r w:rsidRPr="00D13B67">
        <w:t>(see above) </w:t>
      </w:r>
    </w:p>
    <w:p w14:paraId="2D6335C0" w14:textId="77777777" w:rsidR="00CD24EB" w:rsidRPr="00D13B67" w:rsidRDefault="00CD24EB" w:rsidP="0080241A">
      <w:pPr>
        <w:rPr>
          <w:rFonts w:cs="Segoe UI"/>
          <w:sz w:val="18"/>
          <w:szCs w:val="18"/>
        </w:rPr>
      </w:pPr>
      <w:r w:rsidRPr="00D13B67">
        <w:t>Examples </w:t>
      </w:r>
    </w:p>
    <w:p w14:paraId="5211CFE1" w14:textId="77777777" w:rsidR="00CD24EB" w:rsidRPr="00D13B67" w:rsidRDefault="00CD24EB" w:rsidP="0080241A">
      <w:pPr>
        <w:rPr>
          <w:sz w:val="18"/>
          <w:szCs w:val="18"/>
        </w:rPr>
      </w:pPr>
      <w:r w:rsidRPr="00D13B67">
        <w:t>Readings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2"/>
        <w:gridCol w:w="6062"/>
      </w:tblGrid>
      <w:tr w:rsidR="00CD24EB" w:rsidRPr="00D13B67" w14:paraId="38F7B955" w14:textId="77777777">
        <w:trPr>
          <w:trHeight w:val="300"/>
        </w:trPr>
        <w:tc>
          <w:tcPr>
            <w:tcW w:w="3780" w:type="dxa"/>
            <w:tcBorders>
              <w:top w:val="single" w:sz="6" w:space="0" w:color="auto"/>
              <w:left w:val="single" w:sz="6" w:space="0" w:color="auto"/>
              <w:bottom w:val="single" w:sz="6" w:space="0" w:color="auto"/>
              <w:right w:val="single" w:sz="6" w:space="0" w:color="auto"/>
            </w:tcBorders>
            <w:hideMark/>
          </w:tcPr>
          <w:p w14:paraId="1060CF5F" w14:textId="77777777" w:rsidR="00CD24EB" w:rsidRPr="00D13B67" w:rsidRDefault="00CD24EB" w:rsidP="00CD24EB">
            <w:pPr>
              <w:rPr>
                <w:rFonts w:ascii="Times New Roman" w:hAnsi="Times New Roman"/>
              </w:rPr>
            </w:pPr>
            <w:r w:rsidRPr="00D13B67">
              <w:t>Can’t use:  </w:t>
            </w:r>
          </w:p>
        </w:tc>
        <w:tc>
          <w:tcPr>
            <w:tcW w:w="7215" w:type="dxa"/>
            <w:tcBorders>
              <w:top w:val="single" w:sz="6" w:space="0" w:color="auto"/>
              <w:left w:val="single" w:sz="6" w:space="0" w:color="auto"/>
              <w:bottom w:val="single" w:sz="6" w:space="0" w:color="auto"/>
              <w:right w:val="single" w:sz="6" w:space="0" w:color="auto"/>
            </w:tcBorders>
            <w:hideMark/>
          </w:tcPr>
          <w:p w14:paraId="6D0020D0" w14:textId="77777777" w:rsidR="00CD24EB" w:rsidRPr="00D13B67" w:rsidRDefault="00CD24EB" w:rsidP="00CD24EB">
            <w:pPr>
              <w:rPr>
                <w:rFonts w:ascii="Times New Roman" w:hAnsi="Times New Roman"/>
              </w:rPr>
            </w:pPr>
            <w:r w:rsidRPr="00D13B67">
              <w:t>Scanned PDFs </w:t>
            </w:r>
          </w:p>
        </w:tc>
      </w:tr>
      <w:tr w:rsidR="00CD24EB" w:rsidRPr="00D13B67" w14:paraId="6FB2AE70" w14:textId="77777777">
        <w:trPr>
          <w:trHeight w:val="300"/>
        </w:trPr>
        <w:tc>
          <w:tcPr>
            <w:tcW w:w="3780" w:type="dxa"/>
            <w:tcBorders>
              <w:top w:val="single" w:sz="6" w:space="0" w:color="auto"/>
              <w:left w:val="single" w:sz="6" w:space="0" w:color="auto"/>
              <w:bottom w:val="single" w:sz="6" w:space="0" w:color="auto"/>
              <w:right w:val="single" w:sz="6" w:space="0" w:color="auto"/>
            </w:tcBorders>
            <w:hideMark/>
          </w:tcPr>
          <w:p w14:paraId="128DCFC4" w14:textId="77777777" w:rsidR="00CD24EB" w:rsidRPr="00D13B67" w:rsidRDefault="00CD24EB" w:rsidP="00CD24EB">
            <w:pPr>
              <w:rPr>
                <w:rFonts w:ascii="Times New Roman" w:hAnsi="Times New Roman"/>
              </w:rPr>
            </w:pPr>
            <w:r w:rsidRPr="00D13B67">
              <w:t>Don’t like or have difficulty using:  </w:t>
            </w:r>
          </w:p>
        </w:tc>
        <w:tc>
          <w:tcPr>
            <w:tcW w:w="7215" w:type="dxa"/>
            <w:tcBorders>
              <w:top w:val="single" w:sz="6" w:space="0" w:color="auto"/>
              <w:left w:val="single" w:sz="6" w:space="0" w:color="auto"/>
              <w:bottom w:val="single" w:sz="6" w:space="0" w:color="auto"/>
              <w:right w:val="single" w:sz="6" w:space="0" w:color="auto"/>
            </w:tcBorders>
            <w:hideMark/>
          </w:tcPr>
          <w:p w14:paraId="65685C88" w14:textId="77777777" w:rsidR="00CD24EB" w:rsidRPr="00D13B67" w:rsidRDefault="00CD24EB" w:rsidP="00CD24EB">
            <w:pPr>
              <w:rPr>
                <w:rFonts w:ascii="Times New Roman" w:hAnsi="Times New Roman"/>
              </w:rPr>
            </w:pPr>
            <w:r w:rsidRPr="00D13B67">
              <w:t>PDFs (don’t work well when zoomed) </w:t>
            </w:r>
          </w:p>
        </w:tc>
      </w:tr>
      <w:tr w:rsidR="00CD24EB" w:rsidRPr="00D13B67" w14:paraId="20DECB4C" w14:textId="77777777">
        <w:trPr>
          <w:trHeight w:val="300"/>
        </w:trPr>
        <w:tc>
          <w:tcPr>
            <w:tcW w:w="3780" w:type="dxa"/>
            <w:tcBorders>
              <w:top w:val="single" w:sz="6" w:space="0" w:color="auto"/>
              <w:left w:val="single" w:sz="6" w:space="0" w:color="auto"/>
              <w:bottom w:val="single" w:sz="6" w:space="0" w:color="auto"/>
              <w:right w:val="single" w:sz="6" w:space="0" w:color="auto"/>
            </w:tcBorders>
            <w:hideMark/>
          </w:tcPr>
          <w:p w14:paraId="34DAE125" w14:textId="77777777" w:rsidR="00CD24EB" w:rsidRPr="00D13B67" w:rsidRDefault="00CD24EB" w:rsidP="00CD24EB">
            <w:pPr>
              <w:rPr>
                <w:rFonts w:ascii="Times New Roman" w:hAnsi="Times New Roman"/>
              </w:rPr>
            </w:pPr>
            <w:r w:rsidRPr="00D13B67">
              <w:t>Like and use:  </w:t>
            </w:r>
          </w:p>
        </w:tc>
        <w:tc>
          <w:tcPr>
            <w:tcW w:w="7215" w:type="dxa"/>
            <w:tcBorders>
              <w:top w:val="single" w:sz="6" w:space="0" w:color="auto"/>
              <w:left w:val="single" w:sz="6" w:space="0" w:color="auto"/>
              <w:bottom w:val="single" w:sz="6" w:space="0" w:color="auto"/>
              <w:right w:val="single" w:sz="6" w:space="0" w:color="auto"/>
            </w:tcBorders>
            <w:hideMark/>
          </w:tcPr>
          <w:p w14:paraId="4BFC15D8" w14:textId="77777777" w:rsidR="00CD24EB" w:rsidRPr="00D13B67" w:rsidRDefault="00CD24EB" w:rsidP="00CD24EB">
            <w:pPr>
              <w:rPr>
                <w:rFonts w:ascii="Times New Roman" w:hAnsi="Times New Roman"/>
              </w:rPr>
            </w:pPr>
            <w:r w:rsidRPr="00D13B67">
              <w:t>Readings from the library or on web pages </w:t>
            </w:r>
          </w:p>
        </w:tc>
      </w:tr>
    </w:tbl>
    <w:p w14:paraId="1E29F58F" w14:textId="77777777" w:rsidR="00CD24EB" w:rsidRPr="00D13B67" w:rsidRDefault="00CD24EB" w:rsidP="0080241A">
      <w:pPr>
        <w:rPr>
          <w:sz w:val="18"/>
          <w:szCs w:val="18"/>
        </w:rPr>
      </w:pPr>
      <w:r w:rsidRPr="00D13B67">
        <w:t>Videos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9"/>
        <w:gridCol w:w="6055"/>
      </w:tblGrid>
      <w:tr w:rsidR="00CD24EB" w:rsidRPr="00D13B67" w14:paraId="01952F32" w14:textId="77777777">
        <w:trPr>
          <w:trHeight w:val="300"/>
        </w:trPr>
        <w:tc>
          <w:tcPr>
            <w:tcW w:w="3780" w:type="dxa"/>
            <w:tcBorders>
              <w:top w:val="single" w:sz="6" w:space="0" w:color="auto"/>
              <w:left w:val="single" w:sz="6" w:space="0" w:color="auto"/>
              <w:bottom w:val="single" w:sz="6" w:space="0" w:color="auto"/>
              <w:right w:val="single" w:sz="6" w:space="0" w:color="auto"/>
            </w:tcBorders>
            <w:hideMark/>
          </w:tcPr>
          <w:p w14:paraId="4ABE2559" w14:textId="77777777" w:rsidR="00CD24EB" w:rsidRPr="00D13B67" w:rsidRDefault="00CD24EB" w:rsidP="00CD24EB">
            <w:pPr>
              <w:rPr>
                <w:rFonts w:ascii="Times New Roman" w:hAnsi="Times New Roman"/>
              </w:rPr>
            </w:pPr>
            <w:r w:rsidRPr="00D13B67">
              <w:t>Can’t use:  </w:t>
            </w:r>
          </w:p>
        </w:tc>
        <w:tc>
          <w:tcPr>
            <w:tcW w:w="7215" w:type="dxa"/>
            <w:tcBorders>
              <w:top w:val="single" w:sz="6" w:space="0" w:color="auto"/>
              <w:left w:val="single" w:sz="6" w:space="0" w:color="auto"/>
              <w:bottom w:val="single" w:sz="6" w:space="0" w:color="auto"/>
              <w:right w:val="single" w:sz="6" w:space="0" w:color="auto"/>
            </w:tcBorders>
            <w:hideMark/>
          </w:tcPr>
          <w:p w14:paraId="7BAB9C39" w14:textId="77777777" w:rsidR="00CD24EB" w:rsidRPr="00D13B67" w:rsidRDefault="00CD24EB" w:rsidP="00CD24EB">
            <w:pPr>
              <w:rPr>
                <w:rFonts w:ascii="Times New Roman" w:hAnsi="Times New Roman"/>
              </w:rPr>
            </w:pPr>
            <w:r w:rsidRPr="00D13B67">
              <w:t>Videos without captions </w:t>
            </w:r>
          </w:p>
        </w:tc>
      </w:tr>
      <w:tr w:rsidR="00CD24EB" w:rsidRPr="00D13B67" w14:paraId="4B541CBB" w14:textId="77777777">
        <w:trPr>
          <w:trHeight w:val="300"/>
        </w:trPr>
        <w:tc>
          <w:tcPr>
            <w:tcW w:w="3780" w:type="dxa"/>
            <w:tcBorders>
              <w:top w:val="single" w:sz="6" w:space="0" w:color="auto"/>
              <w:left w:val="single" w:sz="6" w:space="0" w:color="auto"/>
              <w:bottom w:val="single" w:sz="6" w:space="0" w:color="auto"/>
              <w:right w:val="single" w:sz="6" w:space="0" w:color="auto"/>
            </w:tcBorders>
            <w:hideMark/>
          </w:tcPr>
          <w:p w14:paraId="534047A3" w14:textId="77777777" w:rsidR="00CD24EB" w:rsidRPr="00D13B67" w:rsidRDefault="00CD24EB" w:rsidP="00CD24EB">
            <w:pPr>
              <w:rPr>
                <w:rFonts w:ascii="Times New Roman" w:hAnsi="Times New Roman"/>
              </w:rPr>
            </w:pPr>
            <w:r w:rsidRPr="00D13B67">
              <w:t>Don’t like or have difficulty using:  </w:t>
            </w:r>
          </w:p>
        </w:tc>
        <w:tc>
          <w:tcPr>
            <w:tcW w:w="7215" w:type="dxa"/>
            <w:tcBorders>
              <w:top w:val="single" w:sz="6" w:space="0" w:color="auto"/>
              <w:left w:val="single" w:sz="6" w:space="0" w:color="auto"/>
              <w:bottom w:val="single" w:sz="6" w:space="0" w:color="auto"/>
              <w:right w:val="single" w:sz="6" w:space="0" w:color="auto"/>
            </w:tcBorders>
            <w:hideMark/>
          </w:tcPr>
          <w:p w14:paraId="64091414" w14:textId="77777777" w:rsidR="00CD24EB" w:rsidRPr="00D13B67" w:rsidRDefault="00CD24EB" w:rsidP="00CD24EB">
            <w:pPr>
              <w:rPr>
                <w:rFonts w:ascii="Times New Roman" w:hAnsi="Times New Roman"/>
              </w:rPr>
            </w:pPr>
            <w:r w:rsidRPr="00D13B67">
              <w:t>Videos with unverified machine-generated captions </w:t>
            </w:r>
          </w:p>
        </w:tc>
      </w:tr>
      <w:tr w:rsidR="00CD24EB" w:rsidRPr="00D13B67" w14:paraId="3652541D" w14:textId="77777777">
        <w:trPr>
          <w:trHeight w:val="300"/>
        </w:trPr>
        <w:tc>
          <w:tcPr>
            <w:tcW w:w="3780" w:type="dxa"/>
            <w:tcBorders>
              <w:top w:val="single" w:sz="6" w:space="0" w:color="auto"/>
              <w:left w:val="single" w:sz="6" w:space="0" w:color="auto"/>
              <w:bottom w:val="single" w:sz="6" w:space="0" w:color="auto"/>
              <w:right w:val="single" w:sz="6" w:space="0" w:color="auto"/>
            </w:tcBorders>
            <w:hideMark/>
          </w:tcPr>
          <w:p w14:paraId="74DF0720" w14:textId="77777777" w:rsidR="00CD24EB" w:rsidRPr="00D13B67" w:rsidRDefault="00CD24EB" w:rsidP="00CD24EB">
            <w:pPr>
              <w:rPr>
                <w:rFonts w:ascii="Times New Roman" w:hAnsi="Times New Roman"/>
              </w:rPr>
            </w:pPr>
            <w:r w:rsidRPr="00D13B67">
              <w:t>Like and use:  </w:t>
            </w:r>
          </w:p>
        </w:tc>
        <w:tc>
          <w:tcPr>
            <w:tcW w:w="7215" w:type="dxa"/>
            <w:tcBorders>
              <w:top w:val="single" w:sz="6" w:space="0" w:color="auto"/>
              <w:left w:val="single" w:sz="6" w:space="0" w:color="auto"/>
              <w:bottom w:val="single" w:sz="6" w:space="0" w:color="auto"/>
              <w:right w:val="single" w:sz="6" w:space="0" w:color="auto"/>
            </w:tcBorders>
            <w:hideMark/>
          </w:tcPr>
          <w:p w14:paraId="2B21449F" w14:textId="77777777" w:rsidR="00CD24EB" w:rsidRPr="00D13B67" w:rsidRDefault="00CD24EB" w:rsidP="00CD24EB">
            <w:pPr>
              <w:rPr>
                <w:rFonts w:ascii="Times New Roman" w:hAnsi="Times New Roman"/>
              </w:rPr>
            </w:pPr>
            <w:r w:rsidRPr="00D13B67">
              <w:t>Videos with human edited captions </w:t>
            </w:r>
          </w:p>
        </w:tc>
      </w:tr>
    </w:tbl>
    <w:p w14:paraId="0F71B9E6" w14:textId="77777777" w:rsidR="00CD24EB" w:rsidRPr="00D13B67" w:rsidRDefault="00CD24EB" w:rsidP="0080241A">
      <w:pPr>
        <w:rPr>
          <w:rFonts w:ascii="Segoe UI" w:hAnsi="Segoe UI"/>
          <w:sz w:val="18"/>
          <w:szCs w:val="18"/>
        </w:rPr>
      </w:pPr>
      <w:r w:rsidRPr="00D13B67">
        <w:t> </w:t>
      </w:r>
    </w:p>
    <w:p w14:paraId="18F56C79" w14:textId="77777777" w:rsidR="00CD24EB" w:rsidRPr="00D13B67" w:rsidRDefault="00CD24EB" w:rsidP="0080241A">
      <w:pPr>
        <w:rPr>
          <w:rFonts w:ascii="Segoe UI" w:hAnsi="Segoe UI"/>
          <w:sz w:val="18"/>
          <w:szCs w:val="18"/>
        </w:rPr>
      </w:pPr>
      <w:r w:rsidRPr="00D13B67">
        <w:t> </w:t>
      </w:r>
    </w:p>
    <w:p w14:paraId="1A4F0F1D" w14:textId="77777777" w:rsidR="00CD24EB" w:rsidRPr="00D13B67" w:rsidRDefault="00CD24EB" w:rsidP="0080241A">
      <w:pPr>
        <w:rPr>
          <w:sz w:val="18"/>
          <w:szCs w:val="18"/>
        </w:rPr>
      </w:pPr>
      <w:r w:rsidRPr="00D13B67">
        <w:t>Format (e.g. “PDF” or more general like “Readings”) </w:t>
      </w:r>
    </w:p>
    <w:p w14:paraId="66038501" w14:textId="77777777" w:rsidR="00CD24EB" w:rsidRPr="00D13B67" w:rsidRDefault="00CD24EB" w:rsidP="0080241A">
      <w:pPr>
        <w:rPr>
          <w:sz w:val="18"/>
          <w:szCs w:val="18"/>
        </w:rPr>
      </w:pPr>
      <w:r w:rsidRPr="00D13B67">
        <w:t>Can’t use: </w:t>
      </w:r>
    </w:p>
    <w:p w14:paraId="30125D6B" w14:textId="77777777" w:rsidR="00CD24EB" w:rsidRPr="00D13B67" w:rsidRDefault="00CD24EB" w:rsidP="0080241A">
      <w:pPr>
        <w:rPr>
          <w:sz w:val="18"/>
          <w:szCs w:val="18"/>
        </w:rPr>
      </w:pPr>
      <w:r w:rsidRPr="00D13B67">
        <w:t>Don’t like or have difficulty using: </w:t>
      </w:r>
    </w:p>
    <w:p w14:paraId="4B96947B" w14:textId="77777777" w:rsidR="00CD24EB" w:rsidRPr="00D13B67" w:rsidRDefault="00CD24EB" w:rsidP="0080241A">
      <w:pPr>
        <w:rPr>
          <w:sz w:val="18"/>
          <w:szCs w:val="18"/>
        </w:rPr>
      </w:pPr>
      <w:r w:rsidRPr="00D13B67">
        <w:t>Like and use: </w:t>
      </w:r>
    </w:p>
    <w:p w14:paraId="6ACB1EE1" w14:textId="77777777" w:rsidR="00CD24EB" w:rsidRPr="00D13B67" w:rsidRDefault="00CD24EB" w:rsidP="00CD24EB">
      <w:pPr>
        <w:rPr>
          <w:sz w:val="18"/>
          <w:szCs w:val="18"/>
        </w:rPr>
      </w:pPr>
      <w:r w:rsidRPr="00D13B67">
        <w:t>“What could move that design closer to “like and use” for you?” </w:t>
      </w:r>
    </w:p>
    <w:p w14:paraId="0D6C82AC" w14:textId="77777777" w:rsidR="00CD24EB" w:rsidRPr="00D13B67" w:rsidRDefault="00CD24EB" w:rsidP="00CD24EB">
      <w:pPr>
        <w:rPr>
          <w:sz w:val="18"/>
          <w:szCs w:val="18"/>
        </w:rPr>
      </w:pPr>
      <w:r w:rsidRPr="00D13B67">
        <w:t>“Why do you think instructors choose [whatever they listed as “can’t use”]?” </w:t>
      </w:r>
    </w:p>
    <w:p w14:paraId="16DDA760" w14:textId="77777777" w:rsidR="00CD24EB" w:rsidRPr="00D13B67" w:rsidRDefault="00CD24EB" w:rsidP="00CD24EB">
      <w:pPr>
        <w:rPr>
          <w:sz w:val="18"/>
          <w:szCs w:val="18"/>
        </w:rPr>
      </w:pPr>
      <w:r w:rsidRPr="00D13B67">
        <w:t>Then take responses (from multiple) and combine into a single diagram to map trends. </w:t>
      </w:r>
    </w:p>
    <w:p w14:paraId="506ACBC4" w14:textId="77777777" w:rsidR="00CD24EB" w:rsidRPr="00D13B67" w:rsidRDefault="00CD24EB" w:rsidP="00CD24EB">
      <w:pPr>
        <w:rPr>
          <w:sz w:val="18"/>
          <w:szCs w:val="18"/>
        </w:rPr>
      </w:pPr>
      <w:r w:rsidRPr="00D13B67">
        <w:t>“What patterns do you notice when looking at your map?” </w:t>
      </w:r>
    </w:p>
    <w:p w14:paraId="2C17F964" w14:textId="0791A903" w:rsidR="00CD24EB" w:rsidRPr="00D13B67" w:rsidRDefault="00CD24EB" w:rsidP="0080241A">
      <w:r w:rsidRPr="00D13B67">
        <w:rPr>
          <w:noProof/>
        </w:rPr>
        <w:lastRenderedPageBreak/>
        <w:drawing>
          <wp:inline distT="0" distB="0" distL="0" distR="0" wp14:anchorId="2328FE4A" wp14:editId="77F12F07">
            <wp:extent cx="3323590" cy="3275965"/>
            <wp:effectExtent l="0" t="0" r="0" b="0"/>
            <wp:docPr id="561243482" name="Picture 24" descr="P129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43482" name="Picture 24" descr="P1291#yIS1">
                      <a:extLst>
                        <a:ext uri="{C183D7F6-B498-43B3-948B-1728B52AA6E4}">
                          <adec:decorative xmlns:adec="http://schemas.microsoft.com/office/drawing/2017/decorative" val="1"/>
                        </a:ext>
                      </a:extLs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323590" cy="3275965"/>
                    </a:xfrm>
                    <a:prstGeom prst="rect">
                      <a:avLst/>
                    </a:prstGeom>
                    <a:noFill/>
                    <a:ln>
                      <a:noFill/>
                    </a:ln>
                  </pic:spPr>
                </pic:pic>
              </a:graphicData>
            </a:graphic>
          </wp:inline>
        </w:drawing>
      </w:r>
      <w:r w:rsidRPr="00D13B67">
        <w:rPr>
          <w:rFonts w:ascii="Arial Nova" w:hAnsi="Arial Nova"/>
        </w:rPr>
        <w:t> </w:t>
      </w:r>
    </w:p>
    <w:p w14:paraId="2EC74D57" w14:textId="77777777" w:rsidR="00CD24EB" w:rsidRPr="00D13B67" w:rsidRDefault="00CD24EB" w:rsidP="00CD24EB">
      <w:hyperlink r:id="rId265" w:tgtFrame="_blank" w:history="1">
        <w:r w:rsidRPr="00D13B67">
          <w:rPr>
            <w:rFonts w:ascii="Arial Nova" w:hAnsi="Arial Nova"/>
            <w:color w:val="0000FF"/>
            <w:u w:val="single"/>
          </w:rPr>
          <w:t>Virtuous Tornado | The Inclusive Design Guide </w:t>
        </w:r>
        <w:proofErr w:type="gramStart"/>
        <w:r w:rsidRPr="00D13B67">
          <w:rPr>
            <w:rFonts w:ascii="Arial Nova" w:hAnsi="Arial Nova"/>
            <w:color w:val="0000FF"/>
            <w:u w:val="single"/>
          </w:rPr>
          <w:t>The</w:t>
        </w:r>
        <w:proofErr w:type="gramEnd"/>
        <w:r w:rsidRPr="00D13B67">
          <w:rPr>
            <w:rFonts w:ascii="Arial Nova" w:hAnsi="Arial Nova"/>
            <w:color w:val="0000FF"/>
            <w:u w:val="single"/>
          </w:rPr>
          <w:t> Inclusive Design Guide</w:t>
        </w:r>
      </w:hyperlink>
      <w:r w:rsidRPr="00D13B67">
        <w:rPr>
          <w:rFonts w:ascii="Arial Nova" w:hAnsi="Arial Nova"/>
        </w:rPr>
        <w:t> </w:t>
      </w:r>
    </w:p>
    <w:p w14:paraId="2EEEDE8B" w14:textId="77777777" w:rsidR="00CD24EB" w:rsidRPr="00D13B67" w:rsidRDefault="00CD24EB" w:rsidP="00CD24EB">
      <w:hyperlink r:id="rId266" w:tgtFrame="_blank" w:history="1">
        <w:r w:rsidRPr="00D13B67">
          <w:rPr>
            <w:rFonts w:ascii="Arial Nova" w:hAnsi="Arial Nova"/>
            <w:color w:val="0000FF"/>
            <w:u w:val="single"/>
          </w:rPr>
          <w:t>Inclusive Design Map Whiteboard Template</w:t>
        </w:r>
      </w:hyperlink>
      <w:r w:rsidRPr="00D13B67">
        <w:rPr>
          <w:rFonts w:ascii="Arial Nova" w:hAnsi="Arial Nova"/>
        </w:rPr>
        <w:t> </w:t>
      </w:r>
    </w:p>
    <w:p w14:paraId="1CDC4F78" w14:textId="77777777" w:rsidR="00CD24EB" w:rsidRPr="00D13B67" w:rsidRDefault="00CD24EB" w:rsidP="0080241A">
      <w:pPr>
        <w:rPr>
          <w:rFonts w:ascii="Segoe UI" w:hAnsi="Segoe UI"/>
          <w:sz w:val="18"/>
          <w:szCs w:val="18"/>
        </w:rPr>
      </w:pPr>
      <w:r w:rsidRPr="00D13B67">
        <w:t> </w:t>
      </w:r>
    </w:p>
    <w:p w14:paraId="4AE16152" w14:textId="77777777" w:rsidR="00CD24EB" w:rsidRPr="00D13B67" w:rsidRDefault="00CD24EB" w:rsidP="0080241A">
      <w:pPr>
        <w:rPr>
          <w:sz w:val="18"/>
          <w:szCs w:val="18"/>
        </w:rPr>
      </w:pPr>
      <w:r w:rsidRPr="00D13B67">
        <w:t>Format </w:t>
      </w:r>
    </w:p>
    <w:p w14:paraId="435F5F81" w14:textId="77777777" w:rsidR="00CD24EB" w:rsidRPr="00D13B67" w:rsidRDefault="00CD24EB" w:rsidP="0080241A">
      <w:pPr>
        <w:rPr>
          <w:sz w:val="18"/>
          <w:szCs w:val="18"/>
        </w:rPr>
      </w:pPr>
      <w:r w:rsidRPr="00D13B67">
        <w:t>Can’t use (and why?): </w:t>
      </w:r>
    </w:p>
    <w:p w14:paraId="3CDFB41A" w14:textId="77777777" w:rsidR="00CD24EB" w:rsidRPr="00D13B67" w:rsidRDefault="00CD24EB" w:rsidP="0080241A">
      <w:pPr>
        <w:rPr>
          <w:sz w:val="18"/>
          <w:szCs w:val="18"/>
        </w:rPr>
      </w:pPr>
      <w:r w:rsidRPr="00D13B67">
        <w:t>Don’t like or have difficulty using (and why?): </w:t>
      </w:r>
    </w:p>
    <w:p w14:paraId="6D0D13EC" w14:textId="77777777" w:rsidR="00CD24EB" w:rsidRPr="00D13B67" w:rsidRDefault="00CD24EB" w:rsidP="0080241A">
      <w:pPr>
        <w:rPr>
          <w:sz w:val="18"/>
          <w:szCs w:val="18"/>
        </w:rPr>
      </w:pPr>
      <w:r w:rsidRPr="00D13B67">
        <w:t>Like and use (and why?): </w:t>
      </w:r>
    </w:p>
    <w:p w14:paraId="40009118" w14:textId="77777777" w:rsidR="00CD24EB" w:rsidRPr="00D13B67" w:rsidRDefault="00CD24EB" w:rsidP="007B7E4E"/>
    <w:p w14:paraId="374A281C" w14:textId="038C3AAC" w:rsidR="00105BA4" w:rsidRPr="00D13B67" w:rsidRDefault="00105BA4">
      <w:pPr>
        <w:rPr>
          <w:color w:val="0F4761" w:themeColor="accent1" w:themeShade="BF"/>
          <w:sz w:val="44"/>
          <w:szCs w:val="44"/>
        </w:rPr>
      </w:pPr>
      <w:r w:rsidRPr="00D13B67">
        <w:br w:type="page"/>
      </w:r>
    </w:p>
    <w:p w14:paraId="3FFE3011" w14:textId="5B6A1D1E" w:rsidR="00C2522A" w:rsidRPr="00D13B67" w:rsidRDefault="00C2522A" w:rsidP="00C2522A">
      <w:pPr>
        <w:pStyle w:val="Heading3"/>
      </w:pPr>
      <w:bookmarkStart w:id="69" w:name="_Toc228868016"/>
      <w:r w:rsidRPr="00D13B67">
        <w:lastRenderedPageBreak/>
        <w:t xml:space="preserve">Appendix </w:t>
      </w:r>
      <w:r w:rsidR="00EC67AC" w:rsidRPr="00D13B67">
        <w:t>D</w:t>
      </w:r>
      <w:r w:rsidRPr="00D13B67">
        <w:t>: Codebook</w:t>
      </w:r>
      <w:bookmarkEnd w:id="69"/>
    </w:p>
    <w:p w14:paraId="58E5B294" w14:textId="46CA9B54" w:rsidR="001A11ED" w:rsidRPr="00D13B67" w:rsidRDefault="001A11ED" w:rsidP="00FE29F2">
      <w:pPr>
        <w:pStyle w:val="Caption"/>
      </w:pPr>
      <w:bookmarkStart w:id="70" w:name="_Toc228868022"/>
      <w:r w:rsidRPr="00D13B67">
        <w:t xml:space="preserve">Figure </w:t>
      </w:r>
      <w:r w:rsidR="00991109">
        <w:fldChar w:fldCharType="begin"/>
      </w:r>
      <w:r w:rsidR="00991109">
        <w:instrText xml:space="preserve"> SEQ Figure \* ARABIC </w:instrText>
      </w:r>
      <w:r w:rsidR="00991109">
        <w:fldChar w:fldCharType="separate"/>
      </w:r>
      <w:r w:rsidR="00805E71">
        <w:rPr>
          <w:noProof/>
        </w:rPr>
        <w:t>6</w:t>
      </w:r>
      <w:r w:rsidR="00991109">
        <w:fldChar w:fldCharType="end"/>
      </w:r>
      <w:r w:rsidRPr="00D13B67">
        <w:t>: Screenshot of phase 1 codebook</w:t>
      </w:r>
      <w:bookmarkEnd w:id="70"/>
    </w:p>
    <w:p w14:paraId="32B72F59" w14:textId="34020EF3" w:rsidR="234FCD84" w:rsidRPr="00D13B67" w:rsidRDefault="00380C43" w:rsidP="00535BCD">
      <w:pPr>
        <w:keepNext/>
      </w:pPr>
      <w:r w:rsidRPr="00D13B67">
        <w:rPr>
          <w:noProof/>
        </w:rPr>
        <w:drawing>
          <wp:inline distT="0" distB="0" distL="0" distR="0" wp14:anchorId="3E6BCEC7" wp14:editId="7AA6225D">
            <wp:extent cx="5943600" cy="7534275"/>
            <wp:effectExtent l="0" t="0" r="0" b="0"/>
            <wp:docPr id="948888718" name="Picture 6" descr="P13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8718" name="Picture 6" descr="P1303#yIS1"/>
                    <pic:cNvPicPr/>
                  </pic:nvPicPr>
                  <pic:blipFill>
                    <a:blip r:embed="rId267"/>
                    <a:stretch>
                      <a:fillRect/>
                    </a:stretch>
                  </pic:blipFill>
                  <pic:spPr>
                    <a:xfrm>
                      <a:off x="0" y="0"/>
                      <a:ext cx="5943600" cy="7534275"/>
                    </a:xfrm>
                    <a:prstGeom prst="rect">
                      <a:avLst/>
                    </a:prstGeom>
                  </pic:spPr>
                </pic:pic>
              </a:graphicData>
            </a:graphic>
          </wp:inline>
        </w:drawing>
      </w:r>
    </w:p>
    <w:sectPr w:rsidR="234FCD84" w:rsidRPr="00D13B67" w:rsidSect="00655826">
      <w:headerReference w:type="default" r:id="rId268"/>
      <w:footerReference w:type="default" r:id="rId26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644B6" w14:textId="77777777" w:rsidR="009322F6" w:rsidRDefault="009322F6" w:rsidP="0080241A">
      <w:r>
        <w:separator/>
      </w:r>
    </w:p>
  </w:endnote>
  <w:endnote w:type="continuationSeparator" w:id="0">
    <w:p w14:paraId="2C3EC2C3" w14:textId="77777777" w:rsidR="009322F6" w:rsidRDefault="009322F6" w:rsidP="00802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CF19F9F" w14:paraId="2FDD047B" w14:textId="77777777" w:rsidTr="0CF19F9F">
      <w:trPr>
        <w:trHeight w:val="300"/>
      </w:trPr>
      <w:tc>
        <w:tcPr>
          <w:tcW w:w="3120" w:type="dxa"/>
        </w:tcPr>
        <w:p w14:paraId="3093C03C" w14:textId="0F084C21" w:rsidR="0CF19F9F" w:rsidRDefault="0CF19F9F" w:rsidP="0080241A">
          <w:pPr>
            <w:pStyle w:val="Header"/>
          </w:pPr>
        </w:p>
      </w:tc>
      <w:tc>
        <w:tcPr>
          <w:tcW w:w="3120" w:type="dxa"/>
        </w:tcPr>
        <w:p w14:paraId="1C5561B6" w14:textId="14107084" w:rsidR="0CF19F9F" w:rsidRDefault="0CF19F9F" w:rsidP="0080241A">
          <w:pPr>
            <w:pStyle w:val="Header"/>
          </w:pPr>
        </w:p>
      </w:tc>
      <w:tc>
        <w:tcPr>
          <w:tcW w:w="3120" w:type="dxa"/>
        </w:tcPr>
        <w:p w14:paraId="731FCEA8" w14:textId="7B1CF376" w:rsidR="0CF19F9F" w:rsidRDefault="0CF19F9F" w:rsidP="0080241A">
          <w:pPr>
            <w:pStyle w:val="Header"/>
          </w:pPr>
        </w:p>
      </w:tc>
    </w:tr>
  </w:tbl>
  <w:p w14:paraId="54B0EDD2" w14:textId="11215007" w:rsidR="0CF19F9F" w:rsidRDefault="0CF19F9F" w:rsidP="0CF19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5AD45" w14:textId="77777777" w:rsidR="009322F6" w:rsidRDefault="009322F6" w:rsidP="0080241A">
      <w:r>
        <w:separator/>
      </w:r>
    </w:p>
  </w:footnote>
  <w:footnote w:type="continuationSeparator" w:id="0">
    <w:p w14:paraId="6A908D4C" w14:textId="77777777" w:rsidR="009322F6" w:rsidRDefault="009322F6" w:rsidP="0080241A">
      <w:r>
        <w:continuationSeparator/>
      </w:r>
    </w:p>
  </w:footnote>
  <w:footnote w:id="1">
    <w:p w14:paraId="4A45BFC3" w14:textId="4D90607B" w:rsidR="004D7076" w:rsidRPr="004D7076" w:rsidRDefault="004D7076">
      <w:pPr>
        <w:pStyle w:val="FootnoteText"/>
      </w:pPr>
      <w:r>
        <w:rPr>
          <w:rStyle w:val="FootnoteReference"/>
        </w:rPr>
        <w:footnoteRef/>
      </w:r>
      <w:r>
        <w:t xml:space="preserve"> Stella Grynspan </w:t>
      </w:r>
      <w:r w:rsidR="001D42F0">
        <w:t>is a (at time of writing) Langara student who consented to have their name published.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CF19F9F" w14:paraId="5AA1251E" w14:textId="77777777" w:rsidTr="0CF19F9F">
      <w:trPr>
        <w:trHeight w:val="300"/>
      </w:trPr>
      <w:tc>
        <w:tcPr>
          <w:tcW w:w="3120" w:type="dxa"/>
        </w:tcPr>
        <w:p w14:paraId="77CB1AE0" w14:textId="68179A8B" w:rsidR="0CF19F9F" w:rsidRDefault="0CF19F9F" w:rsidP="0080241A">
          <w:pPr>
            <w:pStyle w:val="Header"/>
          </w:pPr>
        </w:p>
      </w:tc>
      <w:tc>
        <w:tcPr>
          <w:tcW w:w="3120" w:type="dxa"/>
        </w:tcPr>
        <w:p w14:paraId="6573FD1C" w14:textId="7404A623" w:rsidR="0CF19F9F" w:rsidRDefault="0CF19F9F" w:rsidP="0080241A">
          <w:pPr>
            <w:pStyle w:val="Header"/>
          </w:pPr>
        </w:p>
      </w:tc>
      <w:tc>
        <w:tcPr>
          <w:tcW w:w="3120" w:type="dxa"/>
        </w:tcPr>
        <w:p w14:paraId="26121E7E" w14:textId="407F5E31" w:rsidR="0CF19F9F" w:rsidRDefault="0CF19F9F" w:rsidP="00CF392C">
          <w:pPr>
            <w:pStyle w:val="Header"/>
            <w:jc w:val="right"/>
          </w:pPr>
          <w:r>
            <w:fldChar w:fldCharType="begin"/>
          </w:r>
          <w:r>
            <w:instrText>PAGE</w:instrText>
          </w:r>
          <w:r>
            <w:fldChar w:fldCharType="separate"/>
          </w:r>
          <w:r w:rsidR="00DC4396">
            <w:rPr>
              <w:noProof/>
            </w:rPr>
            <w:t>1</w:t>
          </w:r>
          <w:r>
            <w:fldChar w:fldCharType="end"/>
          </w:r>
          <w:r>
            <w:t xml:space="preserve"> of </w:t>
          </w:r>
          <w:r>
            <w:fldChar w:fldCharType="begin"/>
          </w:r>
          <w:r>
            <w:instrText>NUMPAGES</w:instrText>
          </w:r>
          <w:r>
            <w:fldChar w:fldCharType="separate"/>
          </w:r>
          <w:r w:rsidR="00DC4396">
            <w:rPr>
              <w:noProof/>
            </w:rPr>
            <w:t>2</w:t>
          </w:r>
          <w:r>
            <w:fldChar w:fldCharType="end"/>
          </w:r>
        </w:p>
      </w:tc>
    </w:tr>
  </w:tbl>
  <w:p w14:paraId="7816D742" w14:textId="101BBA8B" w:rsidR="0CF19F9F" w:rsidRDefault="0CF19F9F" w:rsidP="0CF19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7C85B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E16A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AC413F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182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B24B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6EB66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B2FC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4CF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702D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F70D6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CC568E"/>
    <w:multiLevelType w:val="hybridMultilevel"/>
    <w:tmpl w:val="0DF860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D707C5"/>
    <w:multiLevelType w:val="hybridMultilevel"/>
    <w:tmpl w:val="85AA3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8D478A"/>
    <w:multiLevelType w:val="hybridMultilevel"/>
    <w:tmpl w:val="9878CF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E05FF"/>
    <w:multiLevelType w:val="hybridMultilevel"/>
    <w:tmpl w:val="8DA4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387A96"/>
    <w:multiLevelType w:val="hybridMultilevel"/>
    <w:tmpl w:val="4AA4D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F7BED"/>
    <w:multiLevelType w:val="hybridMultilevel"/>
    <w:tmpl w:val="1806E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2C256F"/>
    <w:multiLevelType w:val="hybridMultilevel"/>
    <w:tmpl w:val="B5CA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75F0E"/>
    <w:multiLevelType w:val="hybridMultilevel"/>
    <w:tmpl w:val="BC4084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7F7155"/>
    <w:multiLevelType w:val="hybridMultilevel"/>
    <w:tmpl w:val="2D60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C07688"/>
    <w:multiLevelType w:val="hybridMultilevel"/>
    <w:tmpl w:val="42341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34095"/>
    <w:multiLevelType w:val="hybridMultilevel"/>
    <w:tmpl w:val="E09E9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19AB58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CE7252"/>
    <w:multiLevelType w:val="hybridMultilevel"/>
    <w:tmpl w:val="17240D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BFBEC"/>
    <w:multiLevelType w:val="hybridMultilevel"/>
    <w:tmpl w:val="A3B0FFE6"/>
    <w:lvl w:ilvl="0" w:tplc="AABC5C8C">
      <w:start w:val="1"/>
      <w:numFmt w:val="bullet"/>
      <w:lvlText w:val=""/>
      <w:lvlJc w:val="left"/>
      <w:pPr>
        <w:ind w:left="720" w:hanging="360"/>
      </w:pPr>
      <w:rPr>
        <w:rFonts w:ascii="Symbol" w:hAnsi="Symbol" w:hint="default"/>
      </w:rPr>
    </w:lvl>
    <w:lvl w:ilvl="1" w:tplc="F32EF702">
      <w:start w:val="1"/>
      <w:numFmt w:val="bullet"/>
      <w:lvlText w:val="o"/>
      <w:lvlJc w:val="left"/>
      <w:pPr>
        <w:ind w:left="1440" w:hanging="360"/>
      </w:pPr>
      <w:rPr>
        <w:rFonts w:ascii="Courier New" w:hAnsi="Courier New" w:hint="default"/>
      </w:rPr>
    </w:lvl>
    <w:lvl w:ilvl="2" w:tplc="C7B4C1C2">
      <w:start w:val="1"/>
      <w:numFmt w:val="bullet"/>
      <w:lvlText w:val=""/>
      <w:lvlJc w:val="left"/>
      <w:pPr>
        <w:ind w:left="2160" w:hanging="360"/>
      </w:pPr>
      <w:rPr>
        <w:rFonts w:ascii="Wingdings" w:hAnsi="Wingdings" w:hint="default"/>
      </w:rPr>
    </w:lvl>
    <w:lvl w:ilvl="3" w:tplc="AA3425F0">
      <w:start w:val="1"/>
      <w:numFmt w:val="bullet"/>
      <w:lvlText w:val=""/>
      <w:lvlJc w:val="left"/>
      <w:pPr>
        <w:ind w:left="2880" w:hanging="360"/>
      </w:pPr>
      <w:rPr>
        <w:rFonts w:ascii="Symbol" w:hAnsi="Symbol" w:hint="default"/>
      </w:rPr>
    </w:lvl>
    <w:lvl w:ilvl="4" w:tplc="CDC80C8C">
      <w:start w:val="1"/>
      <w:numFmt w:val="bullet"/>
      <w:lvlText w:val="o"/>
      <w:lvlJc w:val="left"/>
      <w:pPr>
        <w:ind w:left="3600" w:hanging="360"/>
      </w:pPr>
      <w:rPr>
        <w:rFonts w:ascii="Courier New" w:hAnsi="Courier New" w:hint="default"/>
      </w:rPr>
    </w:lvl>
    <w:lvl w:ilvl="5" w:tplc="9814E40C">
      <w:start w:val="1"/>
      <w:numFmt w:val="bullet"/>
      <w:lvlText w:val=""/>
      <w:lvlJc w:val="left"/>
      <w:pPr>
        <w:ind w:left="4320" w:hanging="360"/>
      </w:pPr>
      <w:rPr>
        <w:rFonts w:ascii="Wingdings" w:hAnsi="Wingdings" w:hint="default"/>
      </w:rPr>
    </w:lvl>
    <w:lvl w:ilvl="6" w:tplc="5AEC957A">
      <w:start w:val="1"/>
      <w:numFmt w:val="bullet"/>
      <w:lvlText w:val=""/>
      <w:lvlJc w:val="left"/>
      <w:pPr>
        <w:ind w:left="5040" w:hanging="360"/>
      </w:pPr>
      <w:rPr>
        <w:rFonts w:ascii="Symbol" w:hAnsi="Symbol" w:hint="default"/>
      </w:rPr>
    </w:lvl>
    <w:lvl w:ilvl="7" w:tplc="FB243D80">
      <w:start w:val="1"/>
      <w:numFmt w:val="bullet"/>
      <w:lvlText w:val="o"/>
      <w:lvlJc w:val="left"/>
      <w:pPr>
        <w:ind w:left="5760" w:hanging="360"/>
      </w:pPr>
      <w:rPr>
        <w:rFonts w:ascii="Courier New" w:hAnsi="Courier New" w:hint="default"/>
      </w:rPr>
    </w:lvl>
    <w:lvl w:ilvl="8" w:tplc="EA50B0B8">
      <w:start w:val="1"/>
      <w:numFmt w:val="bullet"/>
      <w:lvlText w:val=""/>
      <w:lvlJc w:val="left"/>
      <w:pPr>
        <w:ind w:left="6480" w:hanging="360"/>
      </w:pPr>
      <w:rPr>
        <w:rFonts w:ascii="Wingdings" w:hAnsi="Wingdings" w:hint="default"/>
      </w:rPr>
    </w:lvl>
  </w:abstractNum>
  <w:abstractNum w:abstractNumId="23" w15:restartNumberingAfterBreak="0">
    <w:nsid w:val="42A490B9"/>
    <w:multiLevelType w:val="hybridMultilevel"/>
    <w:tmpl w:val="3B78B3E6"/>
    <w:lvl w:ilvl="0" w:tplc="1794C9AE">
      <w:start w:val="1"/>
      <w:numFmt w:val="bullet"/>
      <w:lvlText w:val=""/>
      <w:lvlJc w:val="left"/>
      <w:pPr>
        <w:ind w:left="720" w:hanging="360"/>
      </w:pPr>
      <w:rPr>
        <w:rFonts w:ascii="Symbol" w:hAnsi="Symbol" w:hint="default"/>
      </w:rPr>
    </w:lvl>
    <w:lvl w:ilvl="1" w:tplc="D01AF1C8">
      <w:start w:val="1"/>
      <w:numFmt w:val="bullet"/>
      <w:lvlText w:val="o"/>
      <w:lvlJc w:val="left"/>
      <w:pPr>
        <w:ind w:left="1440" w:hanging="360"/>
      </w:pPr>
      <w:rPr>
        <w:rFonts w:ascii="Courier New" w:hAnsi="Courier New" w:hint="default"/>
      </w:rPr>
    </w:lvl>
    <w:lvl w:ilvl="2" w:tplc="3DFEA7C6">
      <w:start w:val="1"/>
      <w:numFmt w:val="bullet"/>
      <w:lvlText w:val=""/>
      <w:lvlJc w:val="left"/>
      <w:pPr>
        <w:ind w:left="2160" w:hanging="360"/>
      </w:pPr>
      <w:rPr>
        <w:rFonts w:ascii="Wingdings" w:hAnsi="Wingdings" w:hint="default"/>
      </w:rPr>
    </w:lvl>
    <w:lvl w:ilvl="3" w:tplc="F6ACE2D6">
      <w:start w:val="1"/>
      <w:numFmt w:val="bullet"/>
      <w:lvlText w:val=""/>
      <w:lvlJc w:val="left"/>
      <w:pPr>
        <w:ind w:left="2880" w:hanging="360"/>
      </w:pPr>
      <w:rPr>
        <w:rFonts w:ascii="Symbol" w:hAnsi="Symbol" w:hint="default"/>
      </w:rPr>
    </w:lvl>
    <w:lvl w:ilvl="4" w:tplc="E92CE320">
      <w:start w:val="1"/>
      <w:numFmt w:val="bullet"/>
      <w:lvlText w:val="o"/>
      <w:lvlJc w:val="left"/>
      <w:pPr>
        <w:ind w:left="3600" w:hanging="360"/>
      </w:pPr>
      <w:rPr>
        <w:rFonts w:ascii="Courier New" w:hAnsi="Courier New" w:hint="default"/>
      </w:rPr>
    </w:lvl>
    <w:lvl w:ilvl="5" w:tplc="D116D8B2">
      <w:start w:val="1"/>
      <w:numFmt w:val="bullet"/>
      <w:lvlText w:val=""/>
      <w:lvlJc w:val="left"/>
      <w:pPr>
        <w:ind w:left="4320" w:hanging="360"/>
      </w:pPr>
      <w:rPr>
        <w:rFonts w:ascii="Wingdings" w:hAnsi="Wingdings" w:hint="default"/>
      </w:rPr>
    </w:lvl>
    <w:lvl w:ilvl="6" w:tplc="A5FC2F14">
      <w:start w:val="1"/>
      <w:numFmt w:val="bullet"/>
      <w:lvlText w:val=""/>
      <w:lvlJc w:val="left"/>
      <w:pPr>
        <w:ind w:left="5040" w:hanging="360"/>
      </w:pPr>
      <w:rPr>
        <w:rFonts w:ascii="Symbol" w:hAnsi="Symbol" w:hint="default"/>
      </w:rPr>
    </w:lvl>
    <w:lvl w:ilvl="7" w:tplc="9A1C9630">
      <w:start w:val="1"/>
      <w:numFmt w:val="bullet"/>
      <w:lvlText w:val="o"/>
      <w:lvlJc w:val="left"/>
      <w:pPr>
        <w:ind w:left="5760" w:hanging="360"/>
      </w:pPr>
      <w:rPr>
        <w:rFonts w:ascii="Courier New" w:hAnsi="Courier New" w:hint="default"/>
      </w:rPr>
    </w:lvl>
    <w:lvl w:ilvl="8" w:tplc="22FEB91A">
      <w:start w:val="1"/>
      <w:numFmt w:val="bullet"/>
      <w:lvlText w:val=""/>
      <w:lvlJc w:val="left"/>
      <w:pPr>
        <w:ind w:left="6480" w:hanging="360"/>
      </w:pPr>
      <w:rPr>
        <w:rFonts w:ascii="Wingdings" w:hAnsi="Wingdings" w:hint="default"/>
      </w:rPr>
    </w:lvl>
  </w:abstractNum>
  <w:abstractNum w:abstractNumId="24" w15:restartNumberingAfterBreak="0">
    <w:nsid w:val="44023546"/>
    <w:multiLevelType w:val="hybridMultilevel"/>
    <w:tmpl w:val="086E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44195"/>
    <w:multiLevelType w:val="hybridMultilevel"/>
    <w:tmpl w:val="7D162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675C56"/>
    <w:multiLevelType w:val="hybridMultilevel"/>
    <w:tmpl w:val="0DF860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AB1681"/>
    <w:multiLevelType w:val="hybridMultilevel"/>
    <w:tmpl w:val="2F9615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CA20A7C"/>
    <w:multiLevelType w:val="hybridMultilevel"/>
    <w:tmpl w:val="E1E0C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F553D0"/>
    <w:multiLevelType w:val="hybridMultilevel"/>
    <w:tmpl w:val="424A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64C9C"/>
    <w:multiLevelType w:val="hybridMultilevel"/>
    <w:tmpl w:val="5EA67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470D13"/>
    <w:multiLevelType w:val="hybridMultilevel"/>
    <w:tmpl w:val="31005D30"/>
    <w:lvl w:ilvl="0" w:tplc="89E46172">
      <w:start w:val="1"/>
      <w:numFmt w:val="bullet"/>
      <w:lvlText w:val=""/>
      <w:lvlJc w:val="left"/>
      <w:pPr>
        <w:ind w:left="720" w:hanging="360"/>
      </w:pPr>
      <w:rPr>
        <w:rFonts w:ascii="Symbol" w:hAnsi="Symbol" w:hint="default"/>
      </w:rPr>
    </w:lvl>
    <w:lvl w:ilvl="1" w:tplc="C714C918">
      <w:start w:val="1"/>
      <w:numFmt w:val="bullet"/>
      <w:lvlText w:val="o"/>
      <w:lvlJc w:val="left"/>
      <w:pPr>
        <w:ind w:left="1440" w:hanging="360"/>
      </w:pPr>
      <w:rPr>
        <w:rFonts w:ascii="Courier New" w:hAnsi="Courier New" w:hint="default"/>
      </w:rPr>
    </w:lvl>
    <w:lvl w:ilvl="2" w:tplc="56B82D84">
      <w:start w:val="1"/>
      <w:numFmt w:val="bullet"/>
      <w:lvlText w:val=""/>
      <w:lvlJc w:val="left"/>
      <w:pPr>
        <w:ind w:left="2160" w:hanging="360"/>
      </w:pPr>
      <w:rPr>
        <w:rFonts w:ascii="Wingdings" w:hAnsi="Wingdings" w:hint="default"/>
      </w:rPr>
    </w:lvl>
    <w:lvl w:ilvl="3" w:tplc="9F703E1E">
      <w:start w:val="1"/>
      <w:numFmt w:val="bullet"/>
      <w:lvlText w:val=""/>
      <w:lvlJc w:val="left"/>
      <w:pPr>
        <w:ind w:left="2880" w:hanging="360"/>
      </w:pPr>
      <w:rPr>
        <w:rFonts w:ascii="Symbol" w:hAnsi="Symbol" w:hint="default"/>
      </w:rPr>
    </w:lvl>
    <w:lvl w:ilvl="4" w:tplc="5F024DD0">
      <w:start w:val="1"/>
      <w:numFmt w:val="bullet"/>
      <w:lvlText w:val="o"/>
      <w:lvlJc w:val="left"/>
      <w:pPr>
        <w:ind w:left="3600" w:hanging="360"/>
      </w:pPr>
      <w:rPr>
        <w:rFonts w:ascii="Courier New" w:hAnsi="Courier New" w:hint="default"/>
      </w:rPr>
    </w:lvl>
    <w:lvl w:ilvl="5" w:tplc="8B14E0B2">
      <w:start w:val="1"/>
      <w:numFmt w:val="bullet"/>
      <w:lvlText w:val=""/>
      <w:lvlJc w:val="left"/>
      <w:pPr>
        <w:ind w:left="4320" w:hanging="360"/>
      </w:pPr>
      <w:rPr>
        <w:rFonts w:ascii="Wingdings" w:hAnsi="Wingdings" w:hint="default"/>
      </w:rPr>
    </w:lvl>
    <w:lvl w:ilvl="6" w:tplc="98E2BF82">
      <w:start w:val="1"/>
      <w:numFmt w:val="bullet"/>
      <w:lvlText w:val=""/>
      <w:lvlJc w:val="left"/>
      <w:pPr>
        <w:ind w:left="5040" w:hanging="360"/>
      </w:pPr>
      <w:rPr>
        <w:rFonts w:ascii="Symbol" w:hAnsi="Symbol" w:hint="default"/>
      </w:rPr>
    </w:lvl>
    <w:lvl w:ilvl="7" w:tplc="90D478F0">
      <w:start w:val="1"/>
      <w:numFmt w:val="bullet"/>
      <w:lvlText w:val="o"/>
      <w:lvlJc w:val="left"/>
      <w:pPr>
        <w:ind w:left="5760" w:hanging="360"/>
      </w:pPr>
      <w:rPr>
        <w:rFonts w:ascii="Courier New" w:hAnsi="Courier New" w:hint="default"/>
      </w:rPr>
    </w:lvl>
    <w:lvl w:ilvl="8" w:tplc="EB50F580">
      <w:start w:val="1"/>
      <w:numFmt w:val="bullet"/>
      <w:lvlText w:val=""/>
      <w:lvlJc w:val="left"/>
      <w:pPr>
        <w:ind w:left="6480" w:hanging="360"/>
      </w:pPr>
      <w:rPr>
        <w:rFonts w:ascii="Wingdings" w:hAnsi="Wingdings" w:hint="default"/>
      </w:rPr>
    </w:lvl>
  </w:abstractNum>
  <w:abstractNum w:abstractNumId="32" w15:restartNumberingAfterBreak="0">
    <w:nsid w:val="60DA5407"/>
    <w:multiLevelType w:val="hybridMultilevel"/>
    <w:tmpl w:val="BB32E2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CC7D12"/>
    <w:multiLevelType w:val="hybridMultilevel"/>
    <w:tmpl w:val="DB28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801B8"/>
    <w:multiLevelType w:val="hybridMultilevel"/>
    <w:tmpl w:val="471C6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CF839"/>
    <w:multiLevelType w:val="hybridMultilevel"/>
    <w:tmpl w:val="77B605DA"/>
    <w:lvl w:ilvl="0" w:tplc="BE264A38">
      <w:start w:val="1"/>
      <w:numFmt w:val="bullet"/>
      <w:lvlText w:val=""/>
      <w:lvlJc w:val="left"/>
      <w:pPr>
        <w:ind w:left="720" w:hanging="360"/>
      </w:pPr>
      <w:rPr>
        <w:rFonts w:ascii="Symbol" w:hAnsi="Symbol" w:hint="default"/>
      </w:rPr>
    </w:lvl>
    <w:lvl w:ilvl="1" w:tplc="BBD469F0">
      <w:start w:val="1"/>
      <w:numFmt w:val="bullet"/>
      <w:lvlText w:val="o"/>
      <w:lvlJc w:val="left"/>
      <w:pPr>
        <w:ind w:left="1440" w:hanging="360"/>
      </w:pPr>
      <w:rPr>
        <w:rFonts w:ascii="Courier New" w:hAnsi="Courier New" w:hint="default"/>
      </w:rPr>
    </w:lvl>
    <w:lvl w:ilvl="2" w:tplc="8ADC995A">
      <w:start w:val="1"/>
      <w:numFmt w:val="bullet"/>
      <w:lvlText w:val=""/>
      <w:lvlJc w:val="left"/>
      <w:pPr>
        <w:ind w:left="2160" w:hanging="360"/>
      </w:pPr>
      <w:rPr>
        <w:rFonts w:ascii="Wingdings" w:hAnsi="Wingdings" w:hint="default"/>
      </w:rPr>
    </w:lvl>
    <w:lvl w:ilvl="3" w:tplc="83B8CF02">
      <w:start w:val="1"/>
      <w:numFmt w:val="bullet"/>
      <w:lvlText w:val=""/>
      <w:lvlJc w:val="left"/>
      <w:pPr>
        <w:ind w:left="2880" w:hanging="360"/>
      </w:pPr>
      <w:rPr>
        <w:rFonts w:ascii="Symbol" w:hAnsi="Symbol" w:hint="default"/>
      </w:rPr>
    </w:lvl>
    <w:lvl w:ilvl="4" w:tplc="1436D416">
      <w:start w:val="1"/>
      <w:numFmt w:val="bullet"/>
      <w:lvlText w:val="o"/>
      <w:lvlJc w:val="left"/>
      <w:pPr>
        <w:ind w:left="3600" w:hanging="360"/>
      </w:pPr>
      <w:rPr>
        <w:rFonts w:ascii="Courier New" w:hAnsi="Courier New" w:hint="default"/>
      </w:rPr>
    </w:lvl>
    <w:lvl w:ilvl="5" w:tplc="0268A196">
      <w:start w:val="1"/>
      <w:numFmt w:val="bullet"/>
      <w:lvlText w:val=""/>
      <w:lvlJc w:val="left"/>
      <w:pPr>
        <w:ind w:left="4320" w:hanging="360"/>
      </w:pPr>
      <w:rPr>
        <w:rFonts w:ascii="Wingdings" w:hAnsi="Wingdings" w:hint="default"/>
      </w:rPr>
    </w:lvl>
    <w:lvl w:ilvl="6" w:tplc="76A2B830">
      <w:start w:val="1"/>
      <w:numFmt w:val="bullet"/>
      <w:lvlText w:val=""/>
      <w:lvlJc w:val="left"/>
      <w:pPr>
        <w:ind w:left="5040" w:hanging="360"/>
      </w:pPr>
      <w:rPr>
        <w:rFonts w:ascii="Symbol" w:hAnsi="Symbol" w:hint="default"/>
      </w:rPr>
    </w:lvl>
    <w:lvl w:ilvl="7" w:tplc="8AB842AC">
      <w:start w:val="1"/>
      <w:numFmt w:val="bullet"/>
      <w:lvlText w:val="o"/>
      <w:lvlJc w:val="left"/>
      <w:pPr>
        <w:ind w:left="5760" w:hanging="360"/>
      </w:pPr>
      <w:rPr>
        <w:rFonts w:ascii="Courier New" w:hAnsi="Courier New" w:hint="default"/>
      </w:rPr>
    </w:lvl>
    <w:lvl w:ilvl="8" w:tplc="0AA4B558">
      <w:start w:val="1"/>
      <w:numFmt w:val="bullet"/>
      <w:lvlText w:val=""/>
      <w:lvlJc w:val="left"/>
      <w:pPr>
        <w:ind w:left="6480" w:hanging="360"/>
      </w:pPr>
      <w:rPr>
        <w:rFonts w:ascii="Wingdings" w:hAnsi="Wingdings" w:hint="default"/>
      </w:rPr>
    </w:lvl>
  </w:abstractNum>
  <w:abstractNum w:abstractNumId="36" w15:restartNumberingAfterBreak="0">
    <w:nsid w:val="7BCF0BF6"/>
    <w:multiLevelType w:val="multilevel"/>
    <w:tmpl w:val="FA08B3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1830051">
    <w:abstractNumId w:val="31"/>
  </w:num>
  <w:num w:numId="2" w16cid:durableId="989477389">
    <w:abstractNumId w:val="35"/>
  </w:num>
  <w:num w:numId="3" w16cid:durableId="164519095">
    <w:abstractNumId w:val="23"/>
  </w:num>
  <w:num w:numId="4" w16cid:durableId="1694499410">
    <w:abstractNumId w:val="22"/>
  </w:num>
  <w:num w:numId="5" w16cid:durableId="188299810">
    <w:abstractNumId w:val="9"/>
  </w:num>
  <w:num w:numId="6" w16cid:durableId="265045822">
    <w:abstractNumId w:val="36"/>
  </w:num>
  <w:num w:numId="7" w16cid:durableId="1153833684">
    <w:abstractNumId w:val="30"/>
  </w:num>
  <w:num w:numId="8" w16cid:durableId="2128500209">
    <w:abstractNumId w:val="20"/>
  </w:num>
  <w:num w:numId="9" w16cid:durableId="1579094634">
    <w:abstractNumId w:val="11"/>
  </w:num>
  <w:num w:numId="10" w16cid:durableId="1766725257">
    <w:abstractNumId w:val="21"/>
  </w:num>
  <w:num w:numId="11" w16cid:durableId="974027768">
    <w:abstractNumId w:val="15"/>
  </w:num>
  <w:num w:numId="12" w16cid:durableId="1133063298">
    <w:abstractNumId w:val="19"/>
  </w:num>
  <w:num w:numId="13" w16cid:durableId="138039997">
    <w:abstractNumId w:val="26"/>
  </w:num>
  <w:num w:numId="14" w16cid:durableId="1116758951">
    <w:abstractNumId w:val="10"/>
  </w:num>
  <w:num w:numId="15" w16cid:durableId="209750">
    <w:abstractNumId w:val="16"/>
  </w:num>
  <w:num w:numId="16" w16cid:durableId="767584523">
    <w:abstractNumId w:val="34"/>
  </w:num>
  <w:num w:numId="17" w16cid:durableId="175194061">
    <w:abstractNumId w:val="33"/>
  </w:num>
  <w:num w:numId="18" w16cid:durableId="1744832774">
    <w:abstractNumId w:val="28"/>
  </w:num>
  <w:num w:numId="19" w16cid:durableId="332103465">
    <w:abstractNumId w:val="13"/>
  </w:num>
  <w:num w:numId="20" w16cid:durableId="1177815037">
    <w:abstractNumId w:val="14"/>
  </w:num>
  <w:num w:numId="21" w16cid:durableId="1002582905">
    <w:abstractNumId w:val="32"/>
  </w:num>
  <w:num w:numId="22" w16cid:durableId="675303966">
    <w:abstractNumId w:val="12"/>
  </w:num>
  <w:num w:numId="23" w16cid:durableId="403726603">
    <w:abstractNumId w:val="17"/>
  </w:num>
  <w:num w:numId="24" w16cid:durableId="1416052597">
    <w:abstractNumId w:val="18"/>
  </w:num>
  <w:num w:numId="25" w16cid:durableId="622927047">
    <w:abstractNumId w:val="25"/>
  </w:num>
  <w:num w:numId="26" w16cid:durableId="2120829790">
    <w:abstractNumId w:val="27"/>
  </w:num>
  <w:num w:numId="27" w16cid:durableId="1073087383">
    <w:abstractNumId w:val="29"/>
  </w:num>
  <w:num w:numId="28" w16cid:durableId="184052741">
    <w:abstractNumId w:val="24"/>
  </w:num>
  <w:num w:numId="29" w16cid:durableId="1249460969">
    <w:abstractNumId w:val="7"/>
  </w:num>
  <w:num w:numId="30" w16cid:durableId="1287855582">
    <w:abstractNumId w:val="6"/>
  </w:num>
  <w:num w:numId="31" w16cid:durableId="417793137">
    <w:abstractNumId w:val="5"/>
  </w:num>
  <w:num w:numId="32" w16cid:durableId="1406411996">
    <w:abstractNumId w:val="4"/>
  </w:num>
  <w:num w:numId="33" w16cid:durableId="396710408">
    <w:abstractNumId w:val="8"/>
  </w:num>
  <w:num w:numId="34" w16cid:durableId="1029842000">
    <w:abstractNumId w:val="3"/>
  </w:num>
  <w:num w:numId="35" w16cid:durableId="588007775">
    <w:abstractNumId w:val="2"/>
  </w:num>
  <w:num w:numId="36" w16cid:durableId="668557354">
    <w:abstractNumId w:val="1"/>
  </w:num>
  <w:num w:numId="37" w16cid:durableId="89188909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CA"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967F94"/>
    <w:rsid w:val="00000178"/>
    <w:rsid w:val="00000263"/>
    <w:rsid w:val="00000CCF"/>
    <w:rsid w:val="0000142B"/>
    <w:rsid w:val="00001981"/>
    <w:rsid w:val="00001C45"/>
    <w:rsid w:val="00001FB3"/>
    <w:rsid w:val="00002CB0"/>
    <w:rsid w:val="00003115"/>
    <w:rsid w:val="00004787"/>
    <w:rsid w:val="00005564"/>
    <w:rsid w:val="00005CB8"/>
    <w:rsid w:val="00005CE4"/>
    <w:rsid w:val="00005DEA"/>
    <w:rsid w:val="00006528"/>
    <w:rsid w:val="00006BF6"/>
    <w:rsid w:val="00006F8D"/>
    <w:rsid w:val="000074D9"/>
    <w:rsid w:val="00007860"/>
    <w:rsid w:val="00007A80"/>
    <w:rsid w:val="000107CF"/>
    <w:rsid w:val="000108C7"/>
    <w:rsid w:val="00010AA2"/>
    <w:rsid w:val="00011054"/>
    <w:rsid w:val="000117C1"/>
    <w:rsid w:val="00011AB9"/>
    <w:rsid w:val="00011FF2"/>
    <w:rsid w:val="00012456"/>
    <w:rsid w:val="00012A00"/>
    <w:rsid w:val="00013569"/>
    <w:rsid w:val="00013C71"/>
    <w:rsid w:val="00014384"/>
    <w:rsid w:val="000146DC"/>
    <w:rsid w:val="000147CB"/>
    <w:rsid w:val="00014D5A"/>
    <w:rsid w:val="00014EBA"/>
    <w:rsid w:val="00015176"/>
    <w:rsid w:val="00015C7A"/>
    <w:rsid w:val="00016178"/>
    <w:rsid w:val="00017998"/>
    <w:rsid w:val="00017E89"/>
    <w:rsid w:val="0002010B"/>
    <w:rsid w:val="00020632"/>
    <w:rsid w:val="00020672"/>
    <w:rsid w:val="00020CD5"/>
    <w:rsid w:val="0002145C"/>
    <w:rsid w:val="000216AD"/>
    <w:rsid w:val="00021742"/>
    <w:rsid w:val="00024129"/>
    <w:rsid w:val="0002448E"/>
    <w:rsid w:val="0002484B"/>
    <w:rsid w:val="00024E08"/>
    <w:rsid w:val="00024FBC"/>
    <w:rsid w:val="0002513C"/>
    <w:rsid w:val="00025B44"/>
    <w:rsid w:val="00025F2C"/>
    <w:rsid w:val="00026757"/>
    <w:rsid w:val="00026D3B"/>
    <w:rsid w:val="00027A97"/>
    <w:rsid w:val="00027CB7"/>
    <w:rsid w:val="00027DA9"/>
    <w:rsid w:val="00027F26"/>
    <w:rsid w:val="0002B118"/>
    <w:rsid w:val="000301D7"/>
    <w:rsid w:val="00030D33"/>
    <w:rsid w:val="00031395"/>
    <w:rsid w:val="00031766"/>
    <w:rsid w:val="00031C61"/>
    <w:rsid w:val="00031EB9"/>
    <w:rsid w:val="000324D0"/>
    <w:rsid w:val="0003252F"/>
    <w:rsid w:val="0003266D"/>
    <w:rsid w:val="00032F65"/>
    <w:rsid w:val="00033373"/>
    <w:rsid w:val="00033843"/>
    <w:rsid w:val="0003435E"/>
    <w:rsid w:val="000346E1"/>
    <w:rsid w:val="000348D6"/>
    <w:rsid w:val="00034B2E"/>
    <w:rsid w:val="00034F30"/>
    <w:rsid w:val="0003566A"/>
    <w:rsid w:val="00035A3F"/>
    <w:rsid w:val="00035A76"/>
    <w:rsid w:val="00035BE7"/>
    <w:rsid w:val="000373B3"/>
    <w:rsid w:val="00037769"/>
    <w:rsid w:val="000378F2"/>
    <w:rsid w:val="0003796E"/>
    <w:rsid w:val="0004067D"/>
    <w:rsid w:val="00040AE1"/>
    <w:rsid w:val="00040C08"/>
    <w:rsid w:val="00041B28"/>
    <w:rsid w:val="00041B65"/>
    <w:rsid w:val="00043B5C"/>
    <w:rsid w:val="00043FF9"/>
    <w:rsid w:val="0004491A"/>
    <w:rsid w:val="00045159"/>
    <w:rsid w:val="00046B4F"/>
    <w:rsid w:val="00046C06"/>
    <w:rsid w:val="0004722B"/>
    <w:rsid w:val="00047A9D"/>
    <w:rsid w:val="000507C0"/>
    <w:rsid w:val="00050A6A"/>
    <w:rsid w:val="00051227"/>
    <w:rsid w:val="000517DB"/>
    <w:rsid w:val="00051B0A"/>
    <w:rsid w:val="00051F1F"/>
    <w:rsid w:val="00051F29"/>
    <w:rsid w:val="000521F5"/>
    <w:rsid w:val="00052252"/>
    <w:rsid w:val="00052589"/>
    <w:rsid w:val="000526D8"/>
    <w:rsid w:val="000529A3"/>
    <w:rsid w:val="0005335B"/>
    <w:rsid w:val="0005362D"/>
    <w:rsid w:val="00053633"/>
    <w:rsid w:val="000536AF"/>
    <w:rsid w:val="00053FB2"/>
    <w:rsid w:val="00054ACA"/>
    <w:rsid w:val="00054EC0"/>
    <w:rsid w:val="00055AB1"/>
    <w:rsid w:val="00055FB1"/>
    <w:rsid w:val="000568C2"/>
    <w:rsid w:val="00056949"/>
    <w:rsid w:val="00056BCB"/>
    <w:rsid w:val="00057A2B"/>
    <w:rsid w:val="00057D0F"/>
    <w:rsid w:val="00060164"/>
    <w:rsid w:val="00060209"/>
    <w:rsid w:val="000603EE"/>
    <w:rsid w:val="000615BB"/>
    <w:rsid w:val="00061A1D"/>
    <w:rsid w:val="00061DA5"/>
    <w:rsid w:val="00061F91"/>
    <w:rsid w:val="0006281D"/>
    <w:rsid w:val="00062959"/>
    <w:rsid w:val="000633AE"/>
    <w:rsid w:val="0006428F"/>
    <w:rsid w:val="000648D1"/>
    <w:rsid w:val="000648FD"/>
    <w:rsid w:val="000658FC"/>
    <w:rsid w:val="00065C60"/>
    <w:rsid w:val="00065CDD"/>
    <w:rsid w:val="00065D59"/>
    <w:rsid w:val="00067D73"/>
    <w:rsid w:val="000707B2"/>
    <w:rsid w:val="000721CA"/>
    <w:rsid w:val="00072679"/>
    <w:rsid w:val="00072AA3"/>
    <w:rsid w:val="00073A33"/>
    <w:rsid w:val="00073B3C"/>
    <w:rsid w:val="0007412F"/>
    <w:rsid w:val="00074E52"/>
    <w:rsid w:val="00075985"/>
    <w:rsid w:val="00075BD6"/>
    <w:rsid w:val="0007634D"/>
    <w:rsid w:val="000763C9"/>
    <w:rsid w:val="000768DD"/>
    <w:rsid w:val="00076BF5"/>
    <w:rsid w:val="00076F4B"/>
    <w:rsid w:val="000773C1"/>
    <w:rsid w:val="000804D7"/>
    <w:rsid w:val="00081B6A"/>
    <w:rsid w:val="00081E1A"/>
    <w:rsid w:val="00082066"/>
    <w:rsid w:val="00082AD0"/>
    <w:rsid w:val="00083518"/>
    <w:rsid w:val="000837B1"/>
    <w:rsid w:val="00083B04"/>
    <w:rsid w:val="00083D47"/>
    <w:rsid w:val="00083D9E"/>
    <w:rsid w:val="0008548F"/>
    <w:rsid w:val="00085914"/>
    <w:rsid w:val="00085E10"/>
    <w:rsid w:val="00085E57"/>
    <w:rsid w:val="0008664D"/>
    <w:rsid w:val="00086854"/>
    <w:rsid w:val="00087AED"/>
    <w:rsid w:val="00090737"/>
    <w:rsid w:val="00090AB6"/>
    <w:rsid w:val="00091674"/>
    <w:rsid w:val="00092BD9"/>
    <w:rsid w:val="00092DDE"/>
    <w:rsid w:val="00093871"/>
    <w:rsid w:val="00094482"/>
    <w:rsid w:val="00094E05"/>
    <w:rsid w:val="00095114"/>
    <w:rsid w:val="000955C6"/>
    <w:rsid w:val="00095D8F"/>
    <w:rsid w:val="00096216"/>
    <w:rsid w:val="000979F2"/>
    <w:rsid w:val="00097F43"/>
    <w:rsid w:val="0009CA90"/>
    <w:rsid w:val="000A0A05"/>
    <w:rsid w:val="000A1065"/>
    <w:rsid w:val="000A1302"/>
    <w:rsid w:val="000A1626"/>
    <w:rsid w:val="000A1A7F"/>
    <w:rsid w:val="000A1F84"/>
    <w:rsid w:val="000A215E"/>
    <w:rsid w:val="000A238D"/>
    <w:rsid w:val="000A2B2F"/>
    <w:rsid w:val="000A2BAF"/>
    <w:rsid w:val="000A2C98"/>
    <w:rsid w:val="000A2EC4"/>
    <w:rsid w:val="000A3194"/>
    <w:rsid w:val="000A325D"/>
    <w:rsid w:val="000A342A"/>
    <w:rsid w:val="000A3B27"/>
    <w:rsid w:val="000A4508"/>
    <w:rsid w:val="000A5330"/>
    <w:rsid w:val="000A54DE"/>
    <w:rsid w:val="000A5855"/>
    <w:rsid w:val="000A5C6A"/>
    <w:rsid w:val="000A61F8"/>
    <w:rsid w:val="000A6521"/>
    <w:rsid w:val="000A686C"/>
    <w:rsid w:val="000A687F"/>
    <w:rsid w:val="000A7B50"/>
    <w:rsid w:val="000A7DA6"/>
    <w:rsid w:val="000B06F6"/>
    <w:rsid w:val="000B0A7C"/>
    <w:rsid w:val="000B0A81"/>
    <w:rsid w:val="000B0D4E"/>
    <w:rsid w:val="000B103E"/>
    <w:rsid w:val="000B2792"/>
    <w:rsid w:val="000B357A"/>
    <w:rsid w:val="000B42EB"/>
    <w:rsid w:val="000B456A"/>
    <w:rsid w:val="000B4674"/>
    <w:rsid w:val="000B511E"/>
    <w:rsid w:val="000B5305"/>
    <w:rsid w:val="000B5567"/>
    <w:rsid w:val="000B59E4"/>
    <w:rsid w:val="000B5E35"/>
    <w:rsid w:val="000B5FAB"/>
    <w:rsid w:val="000B5FDD"/>
    <w:rsid w:val="000B695A"/>
    <w:rsid w:val="000B69D7"/>
    <w:rsid w:val="000B6AED"/>
    <w:rsid w:val="000B6BEB"/>
    <w:rsid w:val="000B6E0E"/>
    <w:rsid w:val="000B776C"/>
    <w:rsid w:val="000C00AF"/>
    <w:rsid w:val="000C04D3"/>
    <w:rsid w:val="000C0617"/>
    <w:rsid w:val="000C1DC2"/>
    <w:rsid w:val="000C22CF"/>
    <w:rsid w:val="000C24D9"/>
    <w:rsid w:val="000C270C"/>
    <w:rsid w:val="000C27AF"/>
    <w:rsid w:val="000C3108"/>
    <w:rsid w:val="000C3421"/>
    <w:rsid w:val="000C359D"/>
    <w:rsid w:val="000C3C8A"/>
    <w:rsid w:val="000C49B0"/>
    <w:rsid w:val="000C52C5"/>
    <w:rsid w:val="000C531E"/>
    <w:rsid w:val="000C5E73"/>
    <w:rsid w:val="000C646A"/>
    <w:rsid w:val="000C72F9"/>
    <w:rsid w:val="000D026E"/>
    <w:rsid w:val="000D0541"/>
    <w:rsid w:val="000D0704"/>
    <w:rsid w:val="000D0FF1"/>
    <w:rsid w:val="000D1275"/>
    <w:rsid w:val="000D132F"/>
    <w:rsid w:val="000D1B92"/>
    <w:rsid w:val="000D1C14"/>
    <w:rsid w:val="000D1EFE"/>
    <w:rsid w:val="000D250D"/>
    <w:rsid w:val="000D27C3"/>
    <w:rsid w:val="000D2BEA"/>
    <w:rsid w:val="000D2C5D"/>
    <w:rsid w:val="000D37EF"/>
    <w:rsid w:val="000D3F54"/>
    <w:rsid w:val="000D453F"/>
    <w:rsid w:val="000D5423"/>
    <w:rsid w:val="000D54D3"/>
    <w:rsid w:val="000D60C3"/>
    <w:rsid w:val="000D69C3"/>
    <w:rsid w:val="000D7003"/>
    <w:rsid w:val="000D752E"/>
    <w:rsid w:val="000D759B"/>
    <w:rsid w:val="000D76FB"/>
    <w:rsid w:val="000E014C"/>
    <w:rsid w:val="000E0653"/>
    <w:rsid w:val="000E070C"/>
    <w:rsid w:val="000E171E"/>
    <w:rsid w:val="000E23C8"/>
    <w:rsid w:val="000E242A"/>
    <w:rsid w:val="000E274B"/>
    <w:rsid w:val="000E2DAE"/>
    <w:rsid w:val="000E2DE5"/>
    <w:rsid w:val="000E3034"/>
    <w:rsid w:val="000E3642"/>
    <w:rsid w:val="000E4798"/>
    <w:rsid w:val="000E4AB9"/>
    <w:rsid w:val="000E4D0B"/>
    <w:rsid w:val="000E55F5"/>
    <w:rsid w:val="000E560A"/>
    <w:rsid w:val="000E57B6"/>
    <w:rsid w:val="000E59A3"/>
    <w:rsid w:val="000E5A01"/>
    <w:rsid w:val="000E5FBD"/>
    <w:rsid w:val="000E67F8"/>
    <w:rsid w:val="000E69AA"/>
    <w:rsid w:val="000E6FAF"/>
    <w:rsid w:val="000E7478"/>
    <w:rsid w:val="000E77DC"/>
    <w:rsid w:val="000E7CC4"/>
    <w:rsid w:val="000F08FC"/>
    <w:rsid w:val="000F09C4"/>
    <w:rsid w:val="000F0E24"/>
    <w:rsid w:val="000F0FEA"/>
    <w:rsid w:val="000F17F9"/>
    <w:rsid w:val="000F1B99"/>
    <w:rsid w:val="000F1C7A"/>
    <w:rsid w:val="000F2438"/>
    <w:rsid w:val="000F2DE1"/>
    <w:rsid w:val="000F380F"/>
    <w:rsid w:val="000F4243"/>
    <w:rsid w:val="000F445E"/>
    <w:rsid w:val="000F4BB6"/>
    <w:rsid w:val="000F51F4"/>
    <w:rsid w:val="000F545F"/>
    <w:rsid w:val="000F582B"/>
    <w:rsid w:val="000F5DB5"/>
    <w:rsid w:val="000F5F31"/>
    <w:rsid w:val="000F6002"/>
    <w:rsid w:val="000F744F"/>
    <w:rsid w:val="000F768D"/>
    <w:rsid w:val="000F7A7B"/>
    <w:rsid w:val="000F7C55"/>
    <w:rsid w:val="000F7F9F"/>
    <w:rsid w:val="001001B6"/>
    <w:rsid w:val="001007F9"/>
    <w:rsid w:val="00100D6B"/>
    <w:rsid w:val="00101424"/>
    <w:rsid w:val="00101942"/>
    <w:rsid w:val="001019E1"/>
    <w:rsid w:val="00101F64"/>
    <w:rsid w:val="00102C09"/>
    <w:rsid w:val="0010358A"/>
    <w:rsid w:val="001041C7"/>
    <w:rsid w:val="00105085"/>
    <w:rsid w:val="00105BA4"/>
    <w:rsid w:val="00106412"/>
    <w:rsid w:val="00106688"/>
    <w:rsid w:val="00106AD9"/>
    <w:rsid w:val="00107522"/>
    <w:rsid w:val="001078CB"/>
    <w:rsid w:val="0011018E"/>
    <w:rsid w:val="00110370"/>
    <w:rsid w:val="001105DC"/>
    <w:rsid w:val="001106A1"/>
    <w:rsid w:val="00111003"/>
    <w:rsid w:val="00111A86"/>
    <w:rsid w:val="00111ADE"/>
    <w:rsid w:val="00111C4A"/>
    <w:rsid w:val="00111FFF"/>
    <w:rsid w:val="0011278F"/>
    <w:rsid w:val="00112D89"/>
    <w:rsid w:val="001133EC"/>
    <w:rsid w:val="00113DDF"/>
    <w:rsid w:val="00114691"/>
    <w:rsid w:val="00115C64"/>
    <w:rsid w:val="00116599"/>
    <w:rsid w:val="00117142"/>
    <w:rsid w:val="00117381"/>
    <w:rsid w:val="00117F17"/>
    <w:rsid w:val="00117F6D"/>
    <w:rsid w:val="001206F0"/>
    <w:rsid w:val="00120883"/>
    <w:rsid w:val="001208E9"/>
    <w:rsid w:val="0012091B"/>
    <w:rsid w:val="00120CF3"/>
    <w:rsid w:val="00120E48"/>
    <w:rsid w:val="001214E5"/>
    <w:rsid w:val="00121D0B"/>
    <w:rsid w:val="00121F72"/>
    <w:rsid w:val="001221B7"/>
    <w:rsid w:val="0012262F"/>
    <w:rsid w:val="001230B4"/>
    <w:rsid w:val="00123FAD"/>
    <w:rsid w:val="00124B40"/>
    <w:rsid w:val="00124C29"/>
    <w:rsid w:val="001257B5"/>
    <w:rsid w:val="00125A3E"/>
    <w:rsid w:val="001263F1"/>
    <w:rsid w:val="00126515"/>
    <w:rsid w:val="00126B75"/>
    <w:rsid w:val="0012702B"/>
    <w:rsid w:val="00127990"/>
    <w:rsid w:val="00127BAF"/>
    <w:rsid w:val="0012C8F1"/>
    <w:rsid w:val="00130165"/>
    <w:rsid w:val="001307FD"/>
    <w:rsid w:val="00130ABD"/>
    <w:rsid w:val="001311B9"/>
    <w:rsid w:val="00131238"/>
    <w:rsid w:val="0013151E"/>
    <w:rsid w:val="00131863"/>
    <w:rsid w:val="00131CA6"/>
    <w:rsid w:val="00131CB0"/>
    <w:rsid w:val="001328B1"/>
    <w:rsid w:val="00132995"/>
    <w:rsid w:val="00132D71"/>
    <w:rsid w:val="00132F46"/>
    <w:rsid w:val="001335B0"/>
    <w:rsid w:val="001335FC"/>
    <w:rsid w:val="001336A6"/>
    <w:rsid w:val="00133752"/>
    <w:rsid w:val="00133C19"/>
    <w:rsid w:val="001342A5"/>
    <w:rsid w:val="00134587"/>
    <w:rsid w:val="0013472F"/>
    <w:rsid w:val="00134D9C"/>
    <w:rsid w:val="001367DD"/>
    <w:rsid w:val="0013711F"/>
    <w:rsid w:val="001371C2"/>
    <w:rsid w:val="001371E3"/>
    <w:rsid w:val="00141035"/>
    <w:rsid w:val="001417AE"/>
    <w:rsid w:val="00141A9B"/>
    <w:rsid w:val="00141E80"/>
    <w:rsid w:val="00142055"/>
    <w:rsid w:val="001423AA"/>
    <w:rsid w:val="00142918"/>
    <w:rsid w:val="001429E7"/>
    <w:rsid w:val="001430B5"/>
    <w:rsid w:val="00143304"/>
    <w:rsid w:val="00143620"/>
    <w:rsid w:val="0014377E"/>
    <w:rsid w:val="00144995"/>
    <w:rsid w:val="00144E24"/>
    <w:rsid w:val="00145046"/>
    <w:rsid w:val="00145B13"/>
    <w:rsid w:val="00146680"/>
    <w:rsid w:val="00150958"/>
    <w:rsid w:val="00150BB7"/>
    <w:rsid w:val="001511C0"/>
    <w:rsid w:val="00151D6E"/>
    <w:rsid w:val="00151E87"/>
    <w:rsid w:val="001527A8"/>
    <w:rsid w:val="00152B49"/>
    <w:rsid w:val="0015305F"/>
    <w:rsid w:val="0015346A"/>
    <w:rsid w:val="001537AB"/>
    <w:rsid w:val="001539B3"/>
    <w:rsid w:val="0015447F"/>
    <w:rsid w:val="0015518C"/>
    <w:rsid w:val="001554FE"/>
    <w:rsid w:val="0015565E"/>
    <w:rsid w:val="00156326"/>
    <w:rsid w:val="00156497"/>
    <w:rsid w:val="00156E95"/>
    <w:rsid w:val="00157003"/>
    <w:rsid w:val="00160410"/>
    <w:rsid w:val="00160D3F"/>
    <w:rsid w:val="00161B60"/>
    <w:rsid w:val="001620EA"/>
    <w:rsid w:val="001622EB"/>
    <w:rsid w:val="00163567"/>
    <w:rsid w:val="001645AA"/>
    <w:rsid w:val="0016466A"/>
    <w:rsid w:val="00164B3F"/>
    <w:rsid w:val="001663DC"/>
    <w:rsid w:val="00166DE7"/>
    <w:rsid w:val="001674F3"/>
    <w:rsid w:val="00167F8E"/>
    <w:rsid w:val="00170330"/>
    <w:rsid w:val="00170384"/>
    <w:rsid w:val="00171D93"/>
    <w:rsid w:val="0017240B"/>
    <w:rsid w:val="00173CA1"/>
    <w:rsid w:val="00173EDC"/>
    <w:rsid w:val="001747E1"/>
    <w:rsid w:val="00175CED"/>
    <w:rsid w:val="00176376"/>
    <w:rsid w:val="00176A63"/>
    <w:rsid w:val="00177420"/>
    <w:rsid w:val="00177A20"/>
    <w:rsid w:val="00180822"/>
    <w:rsid w:val="00180EAC"/>
    <w:rsid w:val="00181017"/>
    <w:rsid w:val="001813DA"/>
    <w:rsid w:val="00181696"/>
    <w:rsid w:val="0018180E"/>
    <w:rsid w:val="0018183E"/>
    <w:rsid w:val="00181BB2"/>
    <w:rsid w:val="001820DD"/>
    <w:rsid w:val="001820DF"/>
    <w:rsid w:val="0018211C"/>
    <w:rsid w:val="0018297B"/>
    <w:rsid w:val="00182E7E"/>
    <w:rsid w:val="00182F1E"/>
    <w:rsid w:val="00183B74"/>
    <w:rsid w:val="00183B9E"/>
    <w:rsid w:val="00183D4B"/>
    <w:rsid w:val="0018549E"/>
    <w:rsid w:val="0018582D"/>
    <w:rsid w:val="0018596E"/>
    <w:rsid w:val="001859B7"/>
    <w:rsid w:val="00185F9F"/>
    <w:rsid w:val="001863D0"/>
    <w:rsid w:val="00186786"/>
    <w:rsid w:val="00186B24"/>
    <w:rsid w:val="00186D69"/>
    <w:rsid w:val="00190AD0"/>
    <w:rsid w:val="001917D3"/>
    <w:rsid w:val="0019308C"/>
    <w:rsid w:val="001934CB"/>
    <w:rsid w:val="00193B3A"/>
    <w:rsid w:val="00194193"/>
    <w:rsid w:val="00194343"/>
    <w:rsid w:val="00194875"/>
    <w:rsid w:val="00194ACE"/>
    <w:rsid w:val="00195136"/>
    <w:rsid w:val="001959E8"/>
    <w:rsid w:val="00195E72"/>
    <w:rsid w:val="001961A2"/>
    <w:rsid w:val="001964DC"/>
    <w:rsid w:val="00196794"/>
    <w:rsid w:val="0019790D"/>
    <w:rsid w:val="001A0585"/>
    <w:rsid w:val="001A11ED"/>
    <w:rsid w:val="001A1298"/>
    <w:rsid w:val="001A1619"/>
    <w:rsid w:val="001A17BA"/>
    <w:rsid w:val="001A2439"/>
    <w:rsid w:val="001A2FF2"/>
    <w:rsid w:val="001A4068"/>
    <w:rsid w:val="001A4431"/>
    <w:rsid w:val="001A4890"/>
    <w:rsid w:val="001A4A46"/>
    <w:rsid w:val="001A4AF7"/>
    <w:rsid w:val="001A4D98"/>
    <w:rsid w:val="001A58A7"/>
    <w:rsid w:val="001A6196"/>
    <w:rsid w:val="001B1091"/>
    <w:rsid w:val="001B17BD"/>
    <w:rsid w:val="001B1F5D"/>
    <w:rsid w:val="001B2043"/>
    <w:rsid w:val="001B2658"/>
    <w:rsid w:val="001B26A3"/>
    <w:rsid w:val="001B26AF"/>
    <w:rsid w:val="001B387C"/>
    <w:rsid w:val="001B53EC"/>
    <w:rsid w:val="001B5484"/>
    <w:rsid w:val="001B54C9"/>
    <w:rsid w:val="001B65BB"/>
    <w:rsid w:val="001B6689"/>
    <w:rsid w:val="001B7390"/>
    <w:rsid w:val="001B742D"/>
    <w:rsid w:val="001C0139"/>
    <w:rsid w:val="001C0AA5"/>
    <w:rsid w:val="001C10CA"/>
    <w:rsid w:val="001C163F"/>
    <w:rsid w:val="001C23C5"/>
    <w:rsid w:val="001C2695"/>
    <w:rsid w:val="001C26F2"/>
    <w:rsid w:val="001C2903"/>
    <w:rsid w:val="001C2C54"/>
    <w:rsid w:val="001C3524"/>
    <w:rsid w:val="001C3743"/>
    <w:rsid w:val="001C3B6D"/>
    <w:rsid w:val="001C3C79"/>
    <w:rsid w:val="001C4770"/>
    <w:rsid w:val="001C5A1D"/>
    <w:rsid w:val="001C5DE1"/>
    <w:rsid w:val="001C60BB"/>
    <w:rsid w:val="001C6550"/>
    <w:rsid w:val="001C6EFD"/>
    <w:rsid w:val="001D0335"/>
    <w:rsid w:val="001D06B5"/>
    <w:rsid w:val="001D0F6B"/>
    <w:rsid w:val="001D1219"/>
    <w:rsid w:val="001D17C2"/>
    <w:rsid w:val="001D19F9"/>
    <w:rsid w:val="001D2AE2"/>
    <w:rsid w:val="001D303D"/>
    <w:rsid w:val="001D3484"/>
    <w:rsid w:val="001D39D8"/>
    <w:rsid w:val="001D3F73"/>
    <w:rsid w:val="001D4268"/>
    <w:rsid w:val="001D42C3"/>
    <w:rsid w:val="001D42F0"/>
    <w:rsid w:val="001D4328"/>
    <w:rsid w:val="001D4768"/>
    <w:rsid w:val="001D4C84"/>
    <w:rsid w:val="001D4E36"/>
    <w:rsid w:val="001D4F92"/>
    <w:rsid w:val="001D5124"/>
    <w:rsid w:val="001D5351"/>
    <w:rsid w:val="001D589C"/>
    <w:rsid w:val="001D5F06"/>
    <w:rsid w:val="001D6915"/>
    <w:rsid w:val="001D7106"/>
    <w:rsid w:val="001D73A7"/>
    <w:rsid w:val="001D7521"/>
    <w:rsid w:val="001D768C"/>
    <w:rsid w:val="001D78E4"/>
    <w:rsid w:val="001D7F10"/>
    <w:rsid w:val="001E0C9F"/>
    <w:rsid w:val="001E1B59"/>
    <w:rsid w:val="001E20B6"/>
    <w:rsid w:val="001E2ECC"/>
    <w:rsid w:val="001E2ED6"/>
    <w:rsid w:val="001E3F19"/>
    <w:rsid w:val="001E43EB"/>
    <w:rsid w:val="001E44F6"/>
    <w:rsid w:val="001E48F9"/>
    <w:rsid w:val="001E4B64"/>
    <w:rsid w:val="001E4C8D"/>
    <w:rsid w:val="001E5018"/>
    <w:rsid w:val="001E54F2"/>
    <w:rsid w:val="001E551B"/>
    <w:rsid w:val="001E6D8B"/>
    <w:rsid w:val="001E79E4"/>
    <w:rsid w:val="001F054C"/>
    <w:rsid w:val="001F07ED"/>
    <w:rsid w:val="001F0D99"/>
    <w:rsid w:val="001F147B"/>
    <w:rsid w:val="001F1FA0"/>
    <w:rsid w:val="001F1FCE"/>
    <w:rsid w:val="001F23DB"/>
    <w:rsid w:val="001F2D00"/>
    <w:rsid w:val="001F3E90"/>
    <w:rsid w:val="001F5D36"/>
    <w:rsid w:val="001F6132"/>
    <w:rsid w:val="001F6C97"/>
    <w:rsid w:val="001F716D"/>
    <w:rsid w:val="001F7241"/>
    <w:rsid w:val="00200334"/>
    <w:rsid w:val="00201291"/>
    <w:rsid w:val="0020247E"/>
    <w:rsid w:val="00202BC3"/>
    <w:rsid w:val="00203314"/>
    <w:rsid w:val="00203520"/>
    <w:rsid w:val="0020423C"/>
    <w:rsid w:val="002049D8"/>
    <w:rsid w:val="00204D1A"/>
    <w:rsid w:val="00204FAB"/>
    <w:rsid w:val="002052D1"/>
    <w:rsid w:val="00205467"/>
    <w:rsid w:val="00205887"/>
    <w:rsid w:val="00205C66"/>
    <w:rsid w:val="00205FCE"/>
    <w:rsid w:val="00206359"/>
    <w:rsid w:val="00210657"/>
    <w:rsid w:val="00210BBC"/>
    <w:rsid w:val="00210C6D"/>
    <w:rsid w:val="002124D8"/>
    <w:rsid w:val="00212C31"/>
    <w:rsid w:val="00213685"/>
    <w:rsid w:val="002139CE"/>
    <w:rsid w:val="00214361"/>
    <w:rsid w:val="00214AF7"/>
    <w:rsid w:val="00214B4B"/>
    <w:rsid w:val="002151C6"/>
    <w:rsid w:val="0021522B"/>
    <w:rsid w:val="00215336"/>
    <w:rsid w:val="00215A37"/>
    <w:rsid w:val="00215E84"/>
    <w:rsid w:val="002164A7"/>
    <w:rsid w:val="00216850"/>
    <w:rsid w:val="00217CE0"/>
    <w:rsid w:val="00217EF0"/>
    <w:rsid w:val="00219878"/>
    <w:rsid w:val="0022045E"/>
    <w:rsid w:val="002206DA"/>
    <w:rsid w:val="002217E2"/>
    <w:rsid w:val="00221D3E"/>
    <w:rsid w:val="00221F8C"/>
    <w:rsid w:val="00222A8F"/>
    <w:rsid w:val="00222BD4"/>
    <w:rsid w:val="00222E3C"/>
    <w:rsid w:val="00222FCA"/>
    <w:rsid w:val="0022312B"/>
    <w:rsid w:val="00223164"/>
    <w:rsid w:val="00223691"/>
    <w:rsid w:val="002236DC"/>
    <w:rsid w:val="00223E71"/>
    <w:rsid w:val="00224040"/>
    <w:rsid w:val="002240EA"/>
    <w:rsid w:val="0022411A"/>
    <w:rsid w:val="002245EE"/>
    <w:rsid w:val="0022487F"/>
    <w:rsid w:val="002255DC"/>
    <w:rsid w:val="00226838"/>
    <w:rsid w:val="002268F1"/>
    <w:rsid w:val="00227DB9"/>
    <w:rsid w:val="00227F1F"/>
    <w:rsid w:val="0023070A"/>
    <w:rsid w:val="00230845"/>
    <w:rsid w:val="0023113B"/>
    <w:rsid w:val="00231BA4"/>
    <w:rsid w:val="00231C8A"/>
    <w:rsid w:val="00231E9A"/>
    <w:rsid w:val="00231FD7"/>
    <w:rsid w:val="00232216"/>
    <w:rsid w:val="00232590"/>
    <w:rsid w:val="00233019"/>
    <w:rsid w:val="00233745"/>
    <w:rsid w:val="002338EC"/>
    <w:rsid w:val="00233941"/>
    <w:rsid w:val="00235177"/>
    <w:rsid w:val="00235197"/>
    <w:rsid w:val="00235843"/>
    <w:rsid w:val="002368C8"/>
    <w:rsid w:val="00236973"/>
    <w:rsid w:val="002400C9"/>
    <w:rsid w:val="00240587"/>
    <w:rsid w:val="00240D83"/>
    <w:rsid w:val="00240F9A"/>
    <w:rsid w:val="002410E4"/>
    <w:rsid w:val="00241BF6"/>
    <w:rsid w:val="00241F1D"/>
    <w:rsid w:val="0024269E"/>
    <w:rsid w:val="00242BE8"/>
    <w:rsid w:val="00243368"/>
    <w:rsid w:val="00243448"/>
    <w:rsid w:val="00243B76"/>
    <w:rsid w:val="0024414C"/>
    <w:rsid w:val="00244ACC"/>
    <w:rsid w:val="00245308"/>
    <w:rsid w:val="00246721"/>
    <w:rsid w:val="00246765"/>
    <w:rsid w:val="0024700E"/>
    <w:rsid w:val="002475C0"/>
    <w:rsid w:val="0025178E"/>
    <w:rsid w:val="00251C34"/>
    <w:rsid w:val="00251EF0"/>
    <w:rsid w:val="002520CA"/>
    <w:rsid w:val="00252724"/>
    <w:rsid w:val="00252A42"/>
    <w:rsid w:val="00252B22"/>
    <w:rsid w:val="00253172"/>
    <w:rsid w:val="00253906"/>
    <w:rsid w:val="002544E8"/>
    <w:rsid w:val="00254CAE"/>
    <w:rsid w:val="00254FAB"/>
    <w:rsid w:val="002553F4"/>
    <w:rsid w:val="002561AC"/>
    <w:rsid w:val="00256400"/>
    <w:rsid w:val="002570CD"/>
    <w:rsid w:val="002572E0"/>
    <w:rsid w:val="00257E82"/>
    <w:rsid w:val="00260F36"/>
    <w:rsid w:val="00261529"/>
    <w:rsid w:val="00261574"/>
    <w:rsid w:val="0026234A"/>
    <w:rsid w:val="00262355"/>
    <w:rsid w:val="002631A5"/>
    <w:rsid w:val="0026491D"/>
    <w:rsid w:val="002655F8"/>
    <w:rsid w:val="00265898"/>
    <w:rsid w:val="002658A7"/>
    <w:rsid w:val="0026594D"/>
    <w:rsid w:val="00265D22"/>
    <w:rsid w:val="00265F30"/>
    <w:rsid w:val="002660B6"/>
    <w:rsid w:val="00266359"/>
    <w:rsid w:val="00267697"/>
    <w:rsid w:val="00267BE5"/>
    <w:rsid w:val="00267C31"/>
    <w:rsid w:val="00270223"/>
    <w:rsid w:val="00270793"/>
    <w:rsid w:val="00270F37"/>
    <w:rsid w:val="0027203E"/>
    <w:rsid w:val="00273394"/>
    <w:rsid w:val="002737C7"/>
    <w:rsid w:val="00274503"/>
    <w:rsid w:val="00274504"/>
    <w:rsid w:val="002745C6"/>
    <w:rsid w:val="00274ADF"/>
    <w:rsid w:val="00274BD5"/>
    <w:rsid w:val="0027523B"/>
    <w:rsid w:val="00275A5F"/>
    <w:rsid w:val="00275E82"/>
    <w:rsid w:val="00275F1C"/>
    <w:rsid w:val="00276389"/>
    <w:rsid w:val="0027638E"/>
    <w:rsid w:val="00276515"/>
    <w:rsid w:val="00277074"/>
    <w:rsid w:val="002771BE"/>
    <w:rsid w:val="002778D3"/>
    <w:rsid w:val="00277CF8"/>
    <w:rsid w:val="00280359"/>
    <w:rsid w:val="0028081E"/>
    <w:rsid w:val="00280DF5"/>
    <w:rsid w:val="0028124D"/>
    <w:rsid w:val="00281655"/>
    <w:rsid w:val="0028196E"/>
    <w:rsid w:val="0028199F"/>
    <w:rsid w:val="00282847"/>
    <w:rsid w:val="00282A79"/>
    <w:rsid w:val="00282AA0"/>
    <w:rsid w:val="00282E20"/>
    <w:rsid w:val="00283163"/>
    <w:rsid w:val="00283F11"/>
    <w:rsid w:val="00284718"/>
    <w:rsid w:val="002850BE"/>
    <w:rsid w:val="00285519"/>
    <w:rsid w:val="00286ABC"/>
    <w:rsid w:val="00286CB2"/>
    <w:rsid w:val="00290877"/>
    <w:rsid w:val="002928E1"/>
    <w:rsid w:val="00292916"/>
    <w:rsid w:val="00292A74"/>
    <w:rsid w:val="00292BCD"/>
    <w:rsid w:val="00293C8A"/>
    <w:rsid w:val="00294017"/>
    <w:rsid w:val="0029441C"/>
    <w:rsid w:val="002947B3"/>
    <w:rsid w:val="00294A30"/>
    <w:rsid w:val="00294C8C"/>
    <w:rsid w:val="0029515A"/>
    <w:rsid w:val="00295246"/>
    <w:rsid w:val="00296184"/>
    <w:rsid w:val="002963D2"/>
    <w:rsid w:val="00296918"/>
    <w:rsid w:val="00296A19"/>
    <w:rsid w:val="00296CA7"/>
    <w:rsid w:val="0029723A"/>
    <w:rsid w:val="002A0067"/>
    <w:rsid w:val="002A0EAB"/>
    <w:rsid w:val="002A1865"/>
    <w:rsid w:val="002A2871"/>
    <w:rsid w:val="002A2A6D"/>
    <w:rsid w:val="002A2CE5"/>
    <w:rsid w:val="002A317A"/>
    <w:rsid w:val="002A330C"/>
    <w:rsid w:val="002A3390"/>
    <w:rsid w:val="002A3926"/>
    <w:rsid w:val="002A3A1A"/>
    <w:rsid w:val="002A3EC1"/>
    <w:rsid w:val="002A438C"/>
    <w:rsid w:val="002A4A11"/>
    <w:rsid w:val="002A5245"/>
    <w:rsid w:val="002A533E"/>
    <w:rsid w:val="002A55FA"/>
    <w:rsid w:val="002A58F7"/>
    <w:rsid w:val="002A65AE"/>
    <w:rsid w:val="002A6F0B"/>
    <w:rsid w:val="002A7004"/>
    <w:rsid w:val="002A7266"/>
    <w:rsid w:val="002A77DD"/>
    <w:rsid w:val="002A7B73"/>
    <w:rsid w:val="002A7D22"/>
    <w:rsid w:val="002B00A2"/>
    <w:rsid w:val="002B02DC"/>
    <w:rsid w:val="002B03C4"/>
    <w:rsid w:val="002B0CBC"/>
    <w:rsid w:val="002B0EB8"/>
    <w:rsid w:val="002B0F15"/>
    <w:rsid w:val="002B1D27"/>
    <w:rsid w:val="002B217F"/>
    <w:rsid w:val="002B21E0"/>
    <w:rsid w:val="002B2969"/>
    <w:rsid w:val="002B2FF2"/>
    <w:rsid w:val="002B3172"/>
    <w:rsid w:val="002B35D6"/>
    <w:rsid w:val="002B3BF4"/>
    <w:rsid w:val="002B4608"/>
    <w:rsid w:val="002B4926"/>
    <w:rsid w:val="002B509E"/>
    <w:rsid w:val="002B563F"/>
    <w:rsid w:val="002B5A26"/>
    <w:rsid w:val="002B62A4"/>
    <w:rsid w:val="002B70B4"/>
    <w:rsid w:val="002B78EB"/>
    <w:rsid w:val="002C0599"/>
    <w:rsid w:val="002C0ED2"/>
    <w:rsid w:val="002C15B3"/>
    <w:rsid w:val="002C2207"/>
    <w:rsid w:val="002C2218"/>
    <w:rsid w:val="002C22EE"/>
    <w:rsid w:val="002C2D14"/>
    <w:rsid w:val="002C311F"/>
    <w:rsid w:val="002C3548"/>
    <w:rsid w:val="002C382F"/>
    <w:rsid w:val="002C408B"/>
    <w:rsid w:val="002C413D"/>
    <w:rsid w:val="002C4CA5"/>
    <w:rsid w:val="002C4EC4"/>
    <w:rsid w:val="002C531D"/>
    <w:rsid w:val="002C5E59"/>
    <w:rsid w:val="002C6396"/>
    <w:rsid w:val="002C64B5"/>
    <w:rsid w:val="002C67A0"/>
    <w:rsid w:val="002C6DE6"/>
    <w:rsid w:val="002C74C9"/>
    <w:rsid w:val="002C7518"/>
    <w:rsid w:val="002C7920"/>
    <w:rsid w:val="002C7A37"/>
    <w:rsid w:val="002D0DE7"/>
    <w:rsid w:val="002D25D1"/>
    <w:rsid w:val="002D271F"/>
    <w:rsid w:val="002D27B1"/>
    <w:rsid w:val="002D2A9F"/>
    <w:rsid w:val="002D2EF3"/>
    <w:rsid w:val="002D3488"/>
    <w:rsid w:val="002D36CB"/>
    <w:rsid w:val="002D3872"/>
    <w:rsid w:val="002D38B6"/>
    <w:rsid w:val="002D3EF3"/>
    <w:rsid w:val="002D4558"/>
    <w:rsid w:val="002D47EC"/>
    <w:rsid w:val="002D4CE6"/>
    <w:rsid w:val="002D4E9C"/>
    <w:rsid w:val="002D55DC"/>
    <w:rsid w:val="002D5883"/>
    <w:rsid w:val="002D5D74"/>
    <w:rsid w:val="002D5D84"/>
    <w:rsid w:val="002D5E8D"/>
    <w:rsid w:val="002D6379"/>
    <w:rsid w:val="002D6790"/>
    <w:rsid w:val="002D686A"/>
    <w:rsid w:val="002D6A1A"/>
    <w:rsid w:val="002D6EDB"/>
    <w:rsid w:val="002D7349"/>
    <w:rsid w:val="002D7C78"/>
    <w:rsid w:val="002DB099"/>
    <w:rsid w:val="002E0A57"/>
    <w:rsid w:val="002E0B61"/>
    <w:rsid w:val="002E0BB9"/>
    <w:rsid w:val="002E0F03"/>
    <w:rsid w:val="002E10C3"/>
    <w:rsid w:val="002E1E63"/>
    <w:rsid w:val="002E26FD"/>
    <w:rsid w:val="002E2D30"/>
    <w:rsid w:val="002E3655"/>
    <w:rsid w:val="002E4835"/>
    <w:rsid w:val="002E4C34"/>
    <w:rsid w:val="002E5A50"/>
    <w:rsid w:val="002E621C"/>
    <w:rsid w:val="002E66B2"/>
    <w:rsid w:val="002E6DA8"/>
    <w:rsid w:val="002E6F39"/>
    <w:rsid w:val="002E72A8"/>
    <w:rsid w:val="002F0146"/>
    <w:rsid w:val="002F022A"/>
    <w:rsid w:val="002F0395"/>
    <w:rsid w:val="002F07F6"/>
    <w:rsid w:val="002F0F55"/>
    <w:rsid w:val="002F0F8A"/>
    <w:rsid w:val="002F10FB"/>
    <w:rsid w:val="002F13F8"/>
    <w:rsid w:val="002F2556"/>
    <w:rsid w:val="002F2783"/>
    <w:rsid w:val="002F422A"/>
    <w:rsid w:val="002F42A3"/>
    <w:rsid w:val="002F4364"/>
    <w:rsid w:val="002F43EC"/>
    <w:rsid w:val="002F4787"/>
    <w:rsid w:val="002F5260"/>
    <w:rsid w:val="002F6BA0"/>
    <w:rsid w:val="002F6E72"/>
    <w:rsid w:val="002F6E9F"/>
    <w:rsid w:val="002F7D8D"/>
    <w:rsid w:val="00301557"/>
    <w:rsid w:val="00301731"/>
    <w:rsid w:val="00301C27"/>
    <w:rsid w:val="003022D1"/>
    <w:rsid w:val="00302FC9"/>
    <w:rsid w:val="003032CC"/>
    <w:rsid w:val="0030334C"/>
    <w:rsid w:val="00303352"/>
    <w:rsid w:val="0030336B"/>
    <w:rsid w:val="003033EC"/>
    <w:rsid w:val="003051A1"/>
    <w:rsid w:val="003054DF"/>
    <w:rsid w:val="00305C0E"/>
    <w:rsid w:val="00305D3E"/>
    <w:rsid w:val="0030631F"/>
    <w:rsid w:val="00306B71"/>
    <w:rsid w:val="00307A7C"/>
    <w:rsid w:val="00307F1C"/>
    <w:rsid w:val="0031024B"/>
    <w:rsid w:val="00310436"/>
    <w:rsid w:val="00310470"/>
    <w:rsid w:val="00310621"/>
    <w:rsid w:val="003106A2"/>
    <w:rsid w:val="003107B7"/>
    <w:rsid w:val="003108BC"/>
    <w:rsid w:val="003109E0"/>
    <w:rsid w:val="00310FCB"/>
    <w:rsid w:val="003118EA"/>
    <w:rsid w:val="00311A14"/>
    <w:rsid w:val="00311EDB"/>
    <w:rsid w:val="00312A4E"/>
    <w:rsid w:val="00312C33"/>
    <w:rsid w:val="00312DB6"/>
    <w:rsid w:val="003130B9"/>
    <w:rsid w:val="003132E8"/>
    <w:rsid w:val="00313978"/>
    <w:rsid w:val="00313EBC"/>
    <w:rsid w:val="00314562"/>
    <w:rsid w:val="003149E7"/>
    <w:rsid w:val="00314EE2"/>
    <w:rsid w:val="00315D0A"/>
    <w:rsid w:val="00316400"/>
    <w:rsid w:val="0031655F"/>
    <w:rsid w:val="00316713"/>
    <w:rsid w:val="00320172"/>
    <w:rsid w:val="00320B5A"/>
    <w:rsid w:val="0032119A"/>
    <w:rsid w:val="00321843"/>
    <w:rsid w:val="00322353"/>
    <w:rsid w:val="00322924"/>
    <w:rsid w:val="00322928"/>
    <w:rsid w:val="00322A9D"/>
    <w:rsid w:val="00324178"/>
    <w:rsid w:val="00324711"/>
    <w:rsid w:val="00324934"/>
    <w:rsid w:val="003251BA"/>
    <w:rsid w:val="00325C87"/>
    <w:rsid w:val="00325CD3"/>
    <w:rsid w:val="00326352"/>
    <w:rsid w:val="00326A7F"/>
    <w:rsid w:val="0032742F"/>
    <w:rsid w:val="0032F997"/>
    <w:rsid w:val="00330326"/>
    <w:rsid w:val="00330626"/>
    <w:rsid w:val="0033068B"/>
    <w:rsid w:val="0033196C"/>
    <w:rsid w:val="003320C5"/>
    <w:rsid w:val="00332258"/>
    <w:rsid w:val="003322C2"/>
    <w:rsid w:val="003327E6"/>
    <w:rsid w:val="00332C3C"/>
    <w:rsid w:val="00333178"/>
    <w:rsid w:val="00333A92"/>
    <w:rsid w:val="00333C16"/>
    <w:rsid w:val="00334C10"/>
    <w:rsid w:val="00335128"/>
    <w:rsid w:val="0033520C"/>
    <w:rsid w:val="003360BD"/>
    <w:rsid w:val="0033624B"/>
    <w:rsid w:val="00336598"/>
    <w:rsid w:val="00336847"/>
    <w:rsid w:val="00336D1C"/>
    <w:rsid w:val="00336FF4"/>
    <w:rsid w:val="0033700C"/>
    <w:rsid w:val="00337669"/>
    <w:rsid w:val="00337712"/>
    <w:rsid w:val="00337A80"/>
    <w:rsid w:val="00341471"/>
    <w:rsid w:val="0034148A"/>
    <w:rsid w:val="0034160A"/>
    <w:rsid w:val="00341BF9"/>
    <w:rsid w:val="00341F06"/>
    <w:rsid w:val="00343360"/>
    <w:rsid w:val="00343380"/>
    <w:rsid w:val="00343930"/>
    <w:rsid w:val="003439C1"/>
    <w:rsid w:val="00344171"/>
    <w:rsid w:val="00344B9C"/>
    <w:rsid w:val="0034612D"/>
    <w:rsid w:val="00346377"/>
    <w:rsid w:val="00347026"/>
    <w:rsid w:val="003472DC"/>
    <w:rsid w:val="0035025F"/>
    <w:rsid w:val="003507BF"/>
    <w:rsid w:val="00350E8F"/>
    <w:rsid w:val="003517D6"/>
    <w:rsid w:val="0035180D"/>
    <w:rsid w:val="00351854"/>
    <w:rsid w:val="003518E7"/>
    <w:rsid w:val="003520CB"/>
    <w:rsid w:val="0035221E"/>
    <w:rsid w:val="00352B9D"/>
    <w:rsid w:val="00352D48"/>
    <w:rsid w:val="00353734"/>
    <w:rsid w:val="00353C01"/>
    <w:rsid w:val="003546BC"/>
    <w:rsid w:val="00354949"/>
    <w:rsid w:val="00355366"/>
    <w:rsid w:val="0035549C"/>
    <w:rsid w:val="0035594F"/>
    <w:rsid w:val="00356538"/>
    <w:rsid w:val="00356AE1"/>
    <w:rsid w:val="00357426"/>
    <w:rsid w:val="00357672"/>
    <w:rsid w:val="00357A43"/>
    <w:rsid w:val="00360118"/>
    <w:rsid w:val="0036064B"/>
    <w:rsid w:val="00360C28"/>
    <w:rsid w:val="00361445"/>
    <w:rsid w:val="00361957"/>
    <w:rsid w:val="00361BBD"/>
    <w:rsid w:val="00361C0D"/>
    <w:rsid w:val="00361F16"/>
    <w:rsid w:val="00362102"/>
    <w:rsid w:val="003622A3"/>
    <w:rsid w:val="00362785"/>
    <w:rsid w:val="00362881"/>
    <w:rsid w:val="003628E1"/>
    <w:rsid w:val="00362C98"/>
    <w:rsid w:val="00363405"/>
    <w:rsid w:val="00363B45"/>
    <w:rsid w:val="003644EF"/>
    <w:rsid w:val="003645BF"/>
    <w:rsid w:val="0036485D"/>
    <w:rsid w:val="00364DD3"/>
    <w:rsid w:val="003652CD"/>
    <w:rsid w:val="00365C5B"/>
    <w:rsid w:val="00366DC8"/>
    <w:rsid w:val="0036A0CD"/>
    <w:rsid w:val="00370504"/>
    <w:rsid w:val="00370CB8"/>
    <w:rsid w:val="0037109F"/>
    <w:rsid w:val="00371112"/>
    <w:rsid w:val="003713E8"/>
    <w:rsid w:val="003713FE"/>
    <w:rsid w:val="00371DD9"/>
    <w:rsid w:val="00372CCE"/>
    <w:rsid w:val="003731F9"/>
    <w:rsid w:val="003734DC"/>
    <w:rsid w:val="003738D5"/>
    <w:rsid w:val="00373973"/>
    <w:rsid w:val="00373D80"/>
    <w:rsid w:val="00374006"/>
    <w:rsid w:val="0037449D"/>
    <w:rsid w:val="00375012"/>
    <w:rsid w:val="00375F76"/>
    <w:rsid w:val="003760B7"/>
    <w:rsid w:val="00376AFE"/>
    <w:rsid w:val="00376B7D"/>
    <w:rsid w:val="00376F02"/>
    <w:rsid w:val="003771C3"/>
    <w:rsid w:val="00377AAE"/>
    <w:rsid w:val="00377C8D"/>
    <w:rsid w:val="0038017D"/>
    <w:rsid w:val="00380887"/>
    <w:rsid w:val="00380C43"/>
    <w:rsid w:val="00381D7C"/>
    <w:rsid w:val="00382DA5"/>
    <w:rsid w:val="00383627"/>
    <w:rsid w:val="00383890"/>
    <w:rsid w:val="00383B31"/>
    <w:rsid w:val="00383BDB"/>
    <w:rsid w:val="00383FFA"/>
    <w:rsid w:val="0038418D"/>
    <w:rsid w:val="00384302"/>
    <w:rsid w:val="00384813"/>
    <w:rsid w:val="00384AAA"/>
    <w:rsid w:val="00385282"/>
    <w:rsid w:val="00385571"/>
    <w:rsid w:val="003856A8"/>
    <w:rsid w:val="003856FB"/>
    <w:rsid w:val="00385998"/>
    <w:rsid w:val="00385D5C"/>
    <w:rsid w:val="0038633C"/>
    <w:rsid w:val="003878B7"/>
    <w:rsid w:val="0039099E"/>
    <w:rsid w:val="00391129"/>
    <w:rsid w:val="00391805"/>
    <w:rsid w:val="00391A22"/>
    <w:rsid w:val="00391E75"/>
    <w:rsid w:val="00392A9B"/>
    <w:rsid w:val="00392D70"/>
    <w:rsid w:val="00393285"/>
    <w:rsid w:val="00393450"/>
    <w:rsid w:val="003936A8"/>
    <w:rsid w:val="003938B6"/>
    <w:rsid w:val="00393C46"/>
    <w:rsid w:val="003945CA"/>
    <w:rsid w:val="00394E94"/>
    <w:rsid w:val="00395347"/>
    <w:rsid w:val="0039589B"/>
    <w:rsid w:val="0039598C"/>
    <w:rsid w:val="00395A6D"/>
    <w:rsid w:val="003973D2"/>
    <w:rsid w:val="00397E0E"/>
    <w:rsid w:val="003A14F1"/>
    <w:rsid w:val="003A1543"/>
    <w:rsid w:val="003A20FD"/>
    <w:rsid w:val="003A275C"/>
    <w:rsid w:val="003A2A8B"/>
    <w:rsid w:val="003A2B12"/>
    <w:rsid w:val="003A2B95"/>
    <w:rsid w:val="003A2D37"/>
    <w:rsid w:val="003A2DD6"/>
    <w:rsid w:val="003A3238"/>
    <w:rsid w:val="003A343C"/>
    <w:rsid w:val="003A348D"/>
    <w:rsid w:val="003A3CEB"/>
    <w:rsid w:val="003A48FA"/>
    <w:rsid w:val="003A4B15"/>
    <w:rsid w:val="003A4B69"/>
    <w:rsid w:val="003A4D0D"/>
    <w:rsid w:val="003A4DE3"/>
    <w:rsid w:val="003A4E42"/>
    <w:rsid w:val="003A500B"/>
    <w:rsid w:val="003A5961"/>
    <w:rsid w:val="003A5B5D"/>
    <w:rsid w:val="003A5BDF"/>
    <w:rsid w:val="003A5C0A"/>
    <w:rsid w:val="003A6508"/>
    <w:rsid w:val="003A677F"/>
    <w:rsid w:val="003A68B2"/>
    <w:rsid w:val="003A72E0"/>
    <w:rsid w:val="003A751F"/>
    <w:rsid w:val="003A76B1"/>
    <w:rsid w:val="003A789C"/>
    <w:rsid w:val="003B06CB"/>
    <w:rsid w:val="003B1230"/>
    <w:rsid w:val="003B15FE"/>
    <w:rsid w:val="003B1BF8"/>
    <w:rsid w:val="003B222D"/>
    <w:rsid w:val="003B2334"/>
    <w:rsid w:val="003B24CB"/>
    <w:rsid w:val="003B2501"/>
    <w:rsid w:val="003B2502"/>
    <w:rsid w:val="003B252C"/>
    <w:rsid w:val="003B2925"/>
    <w:rsid w:val="003B41A3"/>
    <w:rsid w:val="003B42ED"/>
    <w:rsid w:val="003B4556"/>
    <w:rsid w:val="003B4B16"/>
    <w:rsid w:val="003B4B84"/>
    <w:rsid w:val="003B4EB5"/>
    <w:rsid w:val="003B59D1"/>
    <w:rsid w:val="003B5CC5"/>
    <w:rsid w:val="003B7E13"/>
    <w:rsid w:val="003C0409"/>
    <w:rsid w:val="003C0443"/>
    <w:rsid w:val="003C0879"/>
    <w:rsid w:val="003C0FD0"/>
    <w:rsid w:val="003C1841"/>
    <w:rsid w:val="003C1BD9"/>
    <w:rsid w:val="003C2320"/>
    <w:rsid w:val="003C29F6"/>
    <w:rsid w:val="003C2A34"/>
    <w:rsid w:val="003C2DC2"/>
    <w:rsid w:val="003C33FB"/>
    <w:rsid w:val="003C36B6"/>
    <w:rsid w:val="003C3889"/>
    <w:rsid w:val="003C454C"/>
    <w:rsid w:val="003C4BD3"/>
    <w:rsid w:val="003C4DA1"/>
    <w:rsid w:val="003C5169"/>
    <w:rsid w:val="003C58AF"/>
    <w:rsid w:val="003C5EAE"/>
    <w:rsid w:val="003C5F27"/>
    <w:rsid w:val="003C7432"/>
    <w:rsid w:val="003C7698"/>
    <w:rsid w:val="003C7ABA"/>
    <w:rsid w:val="003D0D92"/>
    <w:rsid w:val="003D102C"/>
    <w:rsid w:val="003D17D0"/>
    <w:rsid w:val="003D27A9"/>
    <w:rsid w:val="003D320F"/>
    <w:rsid w:val="003D3601"/>
    <w:rsid w:val="003D3BB4"/>
    <w:rsid w:val="003D3EB0"/>
    <w:rsid w:val="003D3FED"/>
    <w:rsid w:val="003D40B4"/>
    <w:rsid w:val="003D488D"/>
    <w:rsid w:val="003D491B"/>
    <w:rsid w:val="003D4E33"/>
    <w:rsid w:val="003D5E91"/>
    <w:rsid w:val="003D60A2"/>
    <w:rsid w:val="003D6D88"/>
    <w:rsid w:val="003D6EF3"/>
    <w:rsid w:val="003D75CA"/>
    <w:rsid w:val="003D7820"/>
    <w:rsid w:val="003D7D29"/>
    <w:rsid w:val="003E0174"/>
    <w:rsid w:val="003E0309"/>
    <w:rsid w:val="003E256E"/>
    <w:rsid w:val="003E268D"/>
    <w:rsid w:val="003E35CA"/>
    <w:rsid w:val="003E39DE"/>
    <w:rsid w:val="003E4460"/>
    <w:rsid w:val="003E47A2"/>
    <w:rsid w:val="003E48AD"/>
    <w:rsid w:val="003E4E4E"/>
    <w:rsid w:val="003E61EE"/>
    <w:rsid w:val="003E6224"/>
    <w:rsid w:val="003E744D"/>
    <w:rsid w:val="003E75E5"/>
    <w:rsid w:val="003E7645"/>
    <w:rsid w:val="003F05F5"/>
    <w:rsid w:val="003F0713"/>
    <w:rsid w:val="003F1B39"/>
    <w:rsid w:val="003F2957"/>
    <w:rsid w:val="003F2958"/>
    <w:rsid w:val="003F2CE9"/>
    <w:rsid w:val="003F2F7F"/>
    <w:rsid w:val="003F322C"/>
    <w:rsid w:val="003F3BB8"/>
    <w:rsid w:val="003F4AD4"/>
    <w:rsid w:val="003F574B"/>
    <w:rsid w:val="003F5BAC"/>
    <w:rsid w:val="003F5FE3"/>
    <w:rsid w:val="003F6618"/>
    <w:rsid w:val="003F68AE"/>
    <w:rsid w:val="003F7AFC"/>
    <w:rsid w:val="003F7CC8"/>
    <w:rsid w:val="003F7E18"/>
    <w:rsid w:val="00400915"/>
    <w:rsid w:val="00400CA7"/>
    <w:rsid w:val="00401BB9"/>
    <w:rsid w:val="004022A7"/>
    <w:rsid w:val="0040240B"/>
    <w:rsid w:val="00402C70"/>
    <w:rsid w:val="00403260"/>
    <w:rsid w:val="004032B1"/>
    <w:rsid w:val="004036B1"/>
    <w:rsid w:val="004040C5"/>
    <w:rsid w:val="004046EC"/>
    <w:rsid w:val="00404AFF"/>
    <w:rsid w:val="00404B97"/>
    <w:rsid w:val="00404C89"/>
    <w:rsid w:val="00404EDE"/>
    <w:rsid w:val="0040525F"/>
    <w:rsid w:val="0040586A"/>
    <w:rsid w:val="004064C2"/>
    <w:rsid w:val="00406A35"/>
    <w:rsid w:val="00406AFC"/>
    <w:rsid w:val="00406D8B"/>
    <w:rsid w:val="0040731B"/>
    <w:rsid w:val="00407466"/>
    <w:rsid w:val="004078FF"/>
    <w:rsid w:val="00407B14"/>
    <w:rsid w:val="0041004E"/>
    <w:rsid w:val="00410101"/>
    <w:rsid w:val="0041056F"/>
    <w:rsid w:val="00410E5F"/>
    <w:rsid w:val="004113E4"/>
    <w:rsid w:val="00411841"/>
    <w:rsid w:val="00412470"/>
    <w:rsid w:val="00412E69"/>
    <w:rsid w:val="00414D4A"/>
    <w:rsid w:val="00414E8E"/>
    <w:rsid w:val="00415A9F"/>
    <w:rsid w:val="00416A36"/>
    <w:rsid w:val="004175EF"/>
    <w:rsid w:val="00417E9B"/>
    <w:rsid w:val="0042027C"/>
    <w:rsid w:val="00420DFF"/>
    <w:rsid w:val="00421118"/>
    <w:rsid w:val="004216CF"/>
    <w:rsid w:val="004217CB"/>
    <w:rsid w:val="00421D0F"/>
    <w:rsid w:val="0042276B"/>
    <w:rsid w:val="004229CF"/>
    <w:rsid w:val="00422E8B"/>
    <w:rsid w:val="00423450"/>
    <w:rsid w:val="004238E7"/>
    <w:rsid w:val="00424A08"/>
    <w:rsid w:val="00425596"/>
    <w:rsid w:val="00425DD5"/>
    <w:rsid w:val="00426BE6"/>
    <w:rsid w:val="004270D0"/>
    <w:rsid w:val="0042741E"/>
    <w:rsid w:val="00427F65"/>
    <w:rsid w:val="0042B966"/>
    <w:rsid w:val="004303DE"/>
    <w:rsid w:val="004305B7"/>
    <w:rsid w:val="00430694"/>
    <w:rsid w:val="00430753"/>
    <w:rsid w:val="00431033"/>
    <w:rsid w:val="004312B4"/>
    <w:rsid w:val="00431492"/>
    <w:rsid w:val="00432CB9"/>
    <w:rsid w:val="00432FA2"/>
    <w:rsid w:val="00433274"/>
    <w:rsid w:val="00433285"/>
    <w:rsid w:val="00433A4E"/>
    <w:rsid w:val="00434615"/>
    <w:rsid w:val="00434E28"/>
    <w:rsid w:val="0043595A"/>
    <w:rsid w:val="004362C4"/>
    <w:rsid w:val="004363BC"/>
    <w:rsid w:val="00436CB0"/>
    <w:rsid w:val="004371F2"/>
    <w:rsid w:val="00437395"/>
    <w:rsid w:val="00437579"/>
    <w:rsid w:val="00437C2C"/>
    <w:rsid w:val="0044007E"/>
    <w:rsid w:val="004401EB"/>
    <w:rsid w:val="0044036C"/>
    <w:rsid w:val="00440ADA"/>
    <w:rsid w:val="0044139C"/>
    <w:rsid w:val="00441AFF"/>
    <w:rsid w:val="004421A1"/>
    <w:rsid w:val="00443027"/>
    <w:rsid w:val="00443454"/>
    <w:rsid w:val="00443548"/>
    <w:rsid w:val="004436A7"/>
    <w:rsid w:val="00443BAE"/>
    <w:rsid w:val="00443FFB"/>
    <w:rsid w:val="0044442F"/>
    <w:rsid w:val="00445661"/>
    <w:rsid w:val="00445854"/>
    <w:rsid w:val="00445B45"/>
    <w:rsid w:val="00445D2A"/>
    <w:rsid w:val="0044640B"/>
    <w:rsid w:val="00446A57"/>
    <w:rsid w:val="00446E73"/>
    <w:rsid w:val="00447274"/>
    <w:rsid w:val="00447D35"/>
    <w:rsid w:val="00447DCA"/>
    <w:rsid w:val="00450533"/>
    <w:rsid w:val="0045087E"/>
    <w:rsid w:val="00450ACC"/>
    <w:rsid w:val="00450DF1"/>
    <w:rsid w:val="0045219F"/>
    <w:rsid w:val="004528B7"/>
    <w:rsid w:val="00452B27"/>
    <w:rsid w:val="004530D6"/>
    <w:rsid w:val="004538FF"/>
    <w:rsid w:val="0045392A"/>
    <w:rsid w:val="00453B1D"/>
    <w:rsid w:val="004542CE"/>
    <w:rsid w:val="004545FE"/>
    <w:rsid w:val="00454B1E"/>
    <w:rsid w:val="00454CF5"/>
    <w:rsid w:val="00455161"/>
    <w:rsid w:val="00457595"/>
    <w:rsid w:val="004604CC"/>
    <w:rsid w:val="00460874"/>
    <w:rsid w:val="00460EB6"/>
    <w:rsid w:val="00461691"/>
    <w:rsid w:val="00462AF4"/>
    <w:rsid w:val="00463AD0"/>
    <w:rsid w:val="00463E88"/>
    <w:rsid w:val="004643B7"/>
    <w:rsid w:val="00465B4F"/>
    <w:rsid w:val="00465F5A"/>
    <w:rsid w:val="004663D9"/>
    <w:rsid w:val="00466922"/>
    <w:rsid w:val="00467023"/>
    <w:rsid w:val="0046738C"/>
    <w:rsid w:val="004673BC"/>
    <w:rsid w:val="00467BE0"/>
    <w:rsid w:val="00467C1A"/>
    <w:rsid w:val="004701EE"/>
    <w:rsid w:val="00470999"/>
    <w:rsid w:val="0047099A"/>
    <w:rsid w:val="0047370D"/>
    <w:rsid w:val="0047527C"/>
    <w:rsid w:val="00475952"/>
    <w:rsid w:val="004759C7"/>
    <w:rsid w:val="00476D48"/>
    <w:rsid w:val="00476F96"/>
    <w:rsid w:val="00477644"/>
    <w:rsid w:val="00477924"/>
    <w:rsid w:val="00477B9D"/>
    <w:rsid w:val="00477CC3"/>
    <w:rsid w:val="004816A5"/>
    <w:rsid w:val="00481B9A"/>
    <w:rsid w:val="00482A4A"/>
    <w:rsid w:val="004831B1"/>
    <w:rsid w:val="00484125"/>
    <w:rsid w:val="00484803"/>
    <w:rsid w:val="00484BF4"/>
    <w:rsid w:val="00485562"/>
    <w:rsid w:val="004857A2"/>
    <w:rsid w:val="00485A57"/>
    <w:rsid w:val="00486832"/>
    <w:rsid w:val="00487267"/>
    <w:rsid w:val="00487D85"/>
    <w:rsid w:val="00490479"/>
    <w:rsid w:val="00490494"/>
    <w:rsid w:val="00490A37"/>
    <w:rsid w:val="00490C50"/>
    <w:rsid w:val="00491841"/>
    <w:rsid w:val="00491C72"/>
    <w:rsid w:val="0049272F"/>
    <w:rsid w:val="00492A27"/>
    <w:rsid w:val="00492C17"/>
    <w:rsid w:val="0049329A"/>
    <w:rsid w:val="0049356A"/>
    <w:rsid w:val="00494082"/>
    <w:rsid w:val="0049411D"/>
    <w:rsid w:val="0049417D"/>
    <w:rsid w:val="004944BE"/>
    <w:rsid w:val="00494DB5"/>
    <w:rsid w:val="00495154"/>
    <w:rsid w:val="00495B5F"/>
    <w:rsid w:val="004A018E"/>
    <w:rsid w:val="004A0746"/>
    <w:rsid w:val="004A07EB"/>
    <w:rsid w:val="004A1C70"/>
    <w:rsid w:val="004A433A"/>
    <w:rsid w:val="004A43C9"/>
    <w:rsid w:val="004A4546"/>
    <w:rsid w:val="004A46D0"/>
    <w:rsid w:val="004A4A9A"/>
    <w:rsid w:val="004A5593"/>
    <w:rsid w:val="004A55CF"/>
    <w:rsid w:val="004A5EBB"/>
    <w:rsid w:val="004A66B3"/>
    <w:rsid w:val="004A69FA"/>
    <w:rsid w:val="004A70A3"/>
    <w:rsid w:val="004A76FC"/>
    <w:rsid w:val="004A7735"/>
    <w:rsid w:val="004A7EA3"/>
    <w:rsid w:val="004B03E1"/>
    <w:rsid w:val="004B105D"/>
    <w:rsid w:val="004B1488"/>
    <w:rsid w:val="004B162C"/>
    <w:rsid w:val="004B2217"/>
    <w:rsid w:val="004B34DA"/>
    <w:rsid w:val="004B395B"/>
    <w:rsid w:val="004B3C96"/>
    <w:rsid w:val="004B44AE"/>
    <w:rsid w:val="004B4C86"/>
    <w:rsid w:val="004B4E81"/>
    <w:rsid w:val="004B6612"/>
    <w:rsid w:val="004B6757"/>
    <w:rsid w:val="004B6886"/>
    <w:rsid w:val="004C06CA"/>
    <w:rsid w:val="004C0786"/>
    <w:rsid w:val="004C07D8"/>
    <w:rsid w:val="004C0F6C"/>
    <w:rsid w:val="004C1220"/>
    <w:rsid w:val="004C12D0"/>
    <w:rsid w:val="004C2300"/>
    <w:rsid w:val="004C26EE"/>
    <w:rsid w:val="004C2CCF"/>
    <w:rsid w:val="004C2FB7"/>
    <w:rsid w:val="004C34B0"/>
    <w:rsid w:val="004C36E9"/>
    <w:rsid w:val="004C3A8C"/>
    <w:rsid w:val="004C3E7F"/>
    <w:rsid w:val="004C3F66"/>
    <w:rsid w:val="004C47FC"/>
    <w:rsid w:val="004C4EB2"/>
    <w:rsid w:val="004C5432"/>
    <w:rsid w:val="004C5B0C"/>
    <w:rsid w:val="004C5C99"/>
    <w:rsid w:val="004C5F7C"/>
    <w:rsid w:val="004C68B0"/>
    <w:rsid w:val="004C6A60"/>
    <w:rsid w:val="004D0AB5"/>
    <w:rsid w:val="004D0C09"/>
    <w:rsid w:val="004D0FA3"/>
    <w:rsid w:val="004D1277"/>
    <w:rsid w:val="004D1E6D"/>
    <w:rsid w:val="004D2406"/>
    <w:rsid w:val="004D3645"/>
    <w:rsid w:val="004D3941"/>
    <w:rsid w:val="004D3A01"/>
    <w:rsid w:val="004D3A51"/>
    <w:rsid w:val="004D406A"/>
    <w:rsid w:val="004D41A5"/>
    <w:rsid w:val="004D4C0A"/>
    <w:rsid w:val="004D5622"/>
    <w:rsid w:val="004D5C83"/>
    <w:rsid w:val="004D666F"/>
    <w:rsid w:val="004D69CB"/>
    <w:rsid w:val="004D6E03"/>
    <w:rsid w:val="004D7076"/>
    <w:rsid w:val="004D7495"/>
    <w:rsid w:val="004D7F1C"/>
    <w:rsid w:val="004E087D"/>
    <w:rsid w:val="004E1405"/>
    <w:rsid w:val="004E1432"/>
    <w:rsid w:val="004E1575"/>
    <w:rsid w:val="004E1EF9"/>
    <w:rsid w:val="004E2318"/>
    <w:rsid w:val="004E3900"/>
    <w:rsid w:val="004E3CCC"/>
    <w:rsid w:val="004E3D7E"/>
    <w:rsid w:val="004E3EAF"/>
    <w:rsid w:val="004E3F5C"/>
    <w:rsid w:val="004E40B7"/>
    <w:rsid w:val="004E4499"/>
    <w:rsid w:val="004E48A6"/>
    <w:rsid w:val="004E51F8"/>
    <w:rsid w:val="004E53B0"/>
    <w:rsid w:val="004E5994"/>
    <w:rsid w:val="004E5EAC"/>
    <w:rsid w:val="004E5FEE"/>
    <w:rsid w:val="004E68C1"/>
    <w:rsid w:val="004E6ED7"/>
    <w:rsid w:val="004E766E"/>
    <w:rsid w:val="004F02FE"/>
    <w:rsid w:val="004F135C"/>
    <w:rsid w:val="004F1599"/>
    <w:rsid w:val="004F1867"/>
    <w:rsid w:val="004F1A8A"/>
    <w:rsid w:val="004F1BD9"/>
    <w:rsid w:val="004F2190"/>
    <w:rsid w:val="004F3648"/>
    <w:rsid w:val="004F388B"/>
    <w:rsid w:val="004F3BE9"/>
    <w:rsid w:val="004F55F4"/>
    <w:rsid w:val="004F56A1"/>
    <w:rsid w:val="004F5A26"/>
    <w:rsid w:val="004F5F61"/>
    <w:rsid w:val="004F6258"/>
    <w:rsid w:val="004F645E"/>
    <w:rsid w:val="004F69E1"/>
    <w:rsid w:val="004F6BF7"/>
    <w:rsid w:val="004F751F"/>
    <w:rsid w:val="004F7531"/>
    <w:rsid w:val="004F7BE3"/>
    <w:rsid w:val="004F7EEC"/>
    <w:rsid w:val="0050002C"/>
    <w:rsid w:val="005001DF"/>
    <w:rsid w:val="0050035C"/>
    <w:rsid w:val="00500665"/>
    <w:rsid w:val="0050098A"/>
    <w:rsid w:val="00500A10"/>
    <w:rsid w:val="00500E95"/>
    <w:rsid w:val="00501EEE"/>
    <w:rsid w:val="005026DA"/>
    <w:rsid w:val="00502C40"/>
    <w:rsid w:val="00504919"/>
    <w:rsid w:val="00505091"/>
    <w:rsid w:val="005050D7"/>
    <w:rsid w:val="00505430"/>
    <w:rsid w:val="00505533"/>
    <w:rsid w:val="00505585"/>
    <w:rsid w:val="00505EE8"/>
    <w:rsid w:val="00506D7D"/>
    <w:rsid w:val="00510945"/>
    <w:rsid w:val="00510B54"/>
    <w:rsid w:val="00510BBD"/>
    <w:rsid w:val="0051105A"/>
    <w:rsid w:val="00511392"/>
    <w:rsid w:val="005118DD"/>
    <w:rsid w:val="00511B17"/>
    <w:rsid w:val="0051213E"/>
    <w:rsid w:val="00512C59"/>
    <w:rsid w:val="0051365C"/>
    <w:rsid w:val="00513915"/>
    <w:rsid w:val="00513D74"/>
    <w:rsid w:val="00514491"/>
    <w:rsid w:val="005145B4"/>
    <w:rsid w:val="00514B7D"/>
    <w:rsid w:val="00514D70"/>
    <w:rsid w:val="005154EA"/>
    <w:rsid w:val="005154ED"/>
    <w:rsid w:val="0051557A"/>
    <w:rsid w:val="00515D3E"/>
    <w:rsid w:val="00515E06"/>
    <w:rsid w:val="00516CC4"/>
    <w:rsid w:val="00516F21"/>
    <w:rsid w:val="00517376"/>
    <w:rsid w:val="00517B4E"/>
    <w:rsid w:val="00517F4F"/>
    <w:rsid w:val="00520634"/>
    <w:rsid w:val="005208F9"/>
    <w:rsid w:val="00520B6C"/>
    <w:rsid w:val="005210D3"/>
    <w:rsid w:val="005219FB"/>
    <w:rsid w:val="0052265D"/>
    <w:rsid w:val="00523599"/>
    <w:rsid w:val="00524020"/>
    <w:rsid w:val="0052412A"/>
    <w:rsid w:val="00524BCD"/>
    <w:rsid w:val="00525023"/>
    <w:rsid w:val="0052517E"/>
    <w:rsid w:val="005265B1"/>
    <w:rsid w:val="00526E75"/>
    <w:rsid w:val="005274E7"/>
    <w:rsid w:val="00531018"/>
    <w:rsid w:val="0053156D"/>
    <w:rsid w:val="00531821"/>
    <w:rsid w:val="005320A3"/>
    <w:rsid w:val="00532737"/>
    <w:rsid w:val="0053294E"/>
    <w:rsid w:val="005330A7"/>
    <w:rsid w:val="005339AE"/>
    <w:rsid w:val="00533BA5"/>
    <w:rsid w:val="00533BCD"/>
    <w:rsid w:val="00534846"/>
    <w:rsid w:val="00534D8A"/>
    <w:rsid w:val="00535855"/>
    <w:rsid w:val="00535948"/>
    <w:rsid w:val="005359AE"/>
    <w:rsid w:val="00535BCD"/>
    <w:rsid w:val="00535D3D"/>
    <w:rsid w:val="00535D87"/>
    <w:rsid w:val="00536716"/>
    <w:rsid w:val="00537E57"/>
    <w:rsid w:val="00541511"/>
    <w:rsid w:val="0054160B"/>
    <w:rsid w:val="0054174B"/>
    <w:rsid w:val="005420BB"/>
    <w:rsid w:val="00542D3B"/>
    <w:rsid w:val="00542E66"/>
    <w:rsid w:val="00543A5D"/>
    <w:rsid w:val="00543CF3"/>
    <w:rsid w:val="005445E7"/>
    <w:rsid w:val="00544695"/>
    <w:rsid w:val="00544C12"/>
    <w:rsid w:val="0054533E"/>
    <w:rsid w:val="00545611"/>
    <w:rsid w:val="0054635C"/>
    <w:rsid w:val="00546A7B"/>
    <w:rsid w:val="00546F26"/>
    <w:rsid w:val="00547845"/>
    <w:rsid w:val="0054794A"/>
    <w:rsid w:val="005479F8"/>
    <w:rsid w:val="0055094B"/>
    <w:rsid w:val="005509CC"/>
    <w:rsid w:val="00550CA0"/>
    <w:rsid w:val="00550ED5"/>
    <w:rsid w:val="00550FE2"/>
    <w:rsid w:val="00551112"/>
    <w:rsid w:val="005511EA"/>
    <w:rsid w:val="00552280"/>
    <w:rsid w:val="00552C1F"/>
    <w:rsid w:val="00553143"/>
    <w:rsid w:val="00553DD6"/>
    <w:rsid w:val="00554C4B"/>
    <w:rsid w:val="00554C6F"/>
    <w:rsid w:val="005557B8"/>
    <w:rsid w:val="005565B6"/>
    <w:rsid w:val="00556910"/>
    <w:rsid w:val="00556F0D"/>
    <w:rsid w:val="00556F6C"/>
    <w:rsid w:val="00557B81"/>
    <w:rsid w:val="00557F22"/>
    <w:rsid w:val="00560B1B"/>
    <w:rsid w:val="00561151"/>
    <w:rsid w:val="00561A76"/>
    <w:rsid w:val="0056382A"/>
    <w:rsid w:val="00563C06"/>
    <w:rsid w:val="00563CB8"/>
    <w:rsid w:val="00565339"/>
    <w:rsid w:val="00565422"/>
    <w:rsid w:val="0056605F"/>
    <w:rsid w:val="00567051"/>
    <w:rsid w:val="00567CF1"/>
    <w:rsid w:val="005700A8"/>
    <w:rsid w:val="00570347"/>
    <w:rsid w:val="0057065A"/>
    <w:rsid w:val="00570899"/>
    <w:rsid w:val="00570A50"/>
    <w:rsid w:val="00570D79"/>
    <w:rsid w:val="00570E70"/>
    <w:rsid w:val="0057101F"/>
    <w:rsid w:val="00571827"/>
    <w:rsid w:val="0057212B"/>
    <w:rsid w:val="00572240"/>
    <w:rsid w:val="005725FA"/>
    <w:rsid w:val="0057273E"/>
    <w:rsid w:val="0057317D"/>
    <w:rsid w:val="0057417A"/>
    <w:rsid w:val="00574569"/>
    <w:rsid w:val="00574E51"/>
    <w:rsid w:val="00575070"/>
    <w:rsid w:val="005753F1"/>
    <w:rsid w:val="005754C5"/>
    <w:rsid w:val="005757D7"/>
    <w:rsid w:val="005759C9"/>
    <w:rsid w:val="00575ECD"/>
    <w:rsid w:val="005765AE"/>
    <w:rsid w:val="00576F57"/>
    <w:rsid w:val="00576FD2"/>
    <w:rsid w:val="005773FE"/>
    <w:rsid w:val="00577BB3"/>
    <w:rsid w:val="00577BD8"/>
    <w:rsid w:val="00577D0D"/>
    <w:rsid w:val="00580082"/>
    <w:rsid w:val="005801C8"/>
    <w:rsid w:val="005811D9"/>
    <w:rsid w:val="005813F3"/>
    <w:rsid w:val="00581D31"/>
    <w:rsid w:val="005822F1"/>
    <w:rsid w:val="0058277A"/>
    <w:rsid w:val="0058277F"/>
    <w:rsid w:val="00582B37"/>
    <w:rsid w:val="0058303C"/>
    <w:rsid w:val="005842CA"/>
    <w:rsid w:val="0058440B"/>
    <w:rsid w:val="00584947"/>
    <w:rsid w:val="00585493"/>
    <w:rsid w:val="00585920"/>
    <w:rsid w:val="00585A17"/>
    <w:rsid w:val="00585F0F"/>
    <w:rsid w:val="005861BB"/>
    <w:rsid w:val="00586654"/>
    <w:rsid w:val="005866B0"/>
    <w:rsid w:val="00586F79"/>
    <w:rsid w:val="00587B4C"/>
    <w:rsid w:val="00587DFD"/>
    <w:rsid w:val="00587F26"/>
    <w:rsid w:val="00590547"/>
    <w:rsid w:val="00590BE5"/>
    <w:rsid w:val="005914D6"/>
    <w:rsid w:val="00592523"/>
    <w:rsid w:val="00592569"/>
    <w:rsid w:val="00593D26"/>
    <w:rsid w:val="005949EC"/>
    <w:rsid w:val="00594F6C"/>
    <w:rsid w:val="00595C8B"/>
    <w:rsid w:val="005972AA"/>
    <w:rsid w:val="00597478"/>
    <w:rsid w:val="00597630"/>
    <w:rsid w:val="0059788F"/>
    <w:rsid w:val="00597904"/>
    <w:rsid w:val="00597AB1"/>
    <w:rsid w:val="005A03C0"/>
    <w:rsid w:val="005A0799"/>
    <w:rsid w:val="005A0A86"/>
    <w:rsid w:val="005A0BDA"/>
    <w:rsid w:val="005A13E8"/>
    <w:rsid w:val="005A14ED"/>
    <w:rsid w:val="005A1570"/>
    <w:rsid w:val="005A15A0"/>
    <w:rsid w:val="005A17BB"/>
    <w:rsid w:val="005A19C3"/>
    <w:rsid w:val="005A1F51"/>
    <w:rsid w:val="005A3633"/>
    <w:rsid w:val="005A3F76"/>
    <w:rsid w:val="005A4316"/>
    <w:rsid w:val="005A44A3"/>
    <w:rsid w:val="005A4565"/>
    <w:rsid w:val="005A4AC1"/>
    <w:rsid w:val="005A532B"/>
    <w:rsid w:val="005A5CA4"/>
    <w:rsid w:val="005A66A9"/>
    <w:rsid w:val="005A675B"/>
    <w:rsid w:val="005A6922"/>
    <w:rsid w:val="005A6C6A"/>
    <w:rsid w:val="005A7537"/>
    <w:rsid w:val="005B01A4"/>
    <w:rsid w:val="005B0256"/>
    <w:rsid w:val="005B0740"/>
    <w:rsid w:val="005B0AEF"/>
    <w:rsid w:val="005B17C3"/>
    <w:rsid w:val="005B1CAB"/>
    <w:rsid w:val="005B213C"/>
    <w:rsid w:val="005B2BAD"/>
    <w:rsid w:val="005B2CB8"/>
    <w:rsid w:val="005B34D0"/>
    <w:rsid w:val="005B37F5"/>
    <w:rsid w:val="005B3B69"/>
    <w:rsid w:val="005B3BBE"/>
    <w:rsid w:val="005B3F1F"/>
    <w:rsid w:val="005B4515"/>
    <w:rsid w:val="005B47FE"/>
    <w:rsid w:val="005B4878"/>
    <w:rsid w:val="005B488F"/>
    <w:rsid w:val="005B4A0E"/>
    <w:rsid w:val="005B4D12"/>
    <w:rsid w:val="005B5294"/>
    <w:rsid w:val="005B5815"/>
    <w:rsid w:val="005B5AC8"/>
    <w:rsid w:val="005B66DD"/>
    <w:rsid w:val="005B66E5"/>
    <w:rsid w:val="005B71A6"/>
    <w:rsid w:val="005B71B6"/>
    <w:rsid w:val="005B798F"/>
    <w:rsid w:val="005C004E"/>
    <w:rsid w:val="005C040D"/>
    <w:rsid w:val="005C142C"/>
    <w:rsid w:val="005C21C9"/>
    <w:rsid w:val="005C2C09"/>
    <w:rsid w:val="005C35BF"/>
    <w:rsid w:val="005C3787"/>
    <w:rsid w:val="005C39DA"/>
    <w:rsid w:val="005C3C89"/>
    <w:rsid w:val="005C3DDB"/>
    <w:rsid w:val="005C486C"/>
    <w:rsid w:val="005C557A"/>
    <w:rsid w:val="005C5845"/>
    <w:rsid w:val="005C588B"/>
    <w:rsid w:val="005C5B16"/>
    <w:rsid w:val="005C7866"/>
    <w:rsid w:val="005D0269"/>
    <w:rsid w:val="005D0940"/>
    <w:rsid w:val="005D0D3B"/>
    <w:rsid w:val="005D0F71"/>
    <w:rsid w:val="005D1128"/>
    <w:rsid w:val="005D1159"/>
    <w:rsid w:val="005D130F"/>
    <w:rsid w:val="005D1826"/>
    <w:rsid w:val="005D1873"/>
    <w:rsid w:val="005D1BE3"/>
    <w:rsid w:val="005D20A9"/>
    <w:rsid w:val="005D237A"/>
    <w:rsid w:val="005D23FA"/>
    <w:rsid w:val="005D284C"/>
    <w:rsid w:val="005D2BB7"/>
    <w:rsid w:val="005D49BF"/>
    <w:rsid w:val="005D4A90"/>
    <w:rsid w:val="005D4C64"/>
    <w:rsid w:val="005D4D3A"/>
    <w:rsid w:val="005D5008"/>
    <w:rsid w:val="005D579B"/>
    <w:rsid w:val="005D5C8A"/>
    <w:rsid w:val="005D5DB6"/>
    <w:rsid w:val="005D687F"/>
    <w:rsid w:val="005D7954"/>
    <w:rsid w:val="005E069E"/>
    <w:rsid w:val="005E0FE7"/>
    <w:rsid w:val="005E115D"/>
    <w:rsid w:val="005E148F"/>
    <w:rsid w:val="005E1B70"/>
    <w:rsid w:val="005E30A2"/>
    <w:rsid w:val="005E3794"/>
    <w:rsid w:val="005E3F93"/>
    <w:rsid w:val="005E4252"/>
    <w:rsid w:val="005E581C"/>
    <w:rsid w:val="005E5903"/>
    <w:rsid w:val="005E6417"/>
    <w:rsid w:val="005E7198"/>
    <w:rsid w:val="005E7DEB"/>
    <w:rsid w:val="005F0346"/>
    <w:rsid w:val="005F03A7"/>
    <w:rsid w:val="005F10E6"/>
    <w:rsid w:val="005F14A8"/>
    <w:rsid w:val="005F15A9"/>
    <w:rsid w:val="005F16FF"/>
    <w:rsid w:val="005F263B"/>
    <w:rsid w:val="005F341E"/>
    <w:rsid w:val="005F34E3"/>
    <w:rsid w:val="005F3668"/>
    <w:rsid w:val="005F393B"/>
    <w:rsid w:val="005F56C5"/>
    <w:rsid w:val="005F6350"/>
    <w:rsid w:val="005F640D"/>
    <w:rsid w:val="005F6552"/>
    <w:rsid w:val="005F784E"/>
    <w:rsid w:val="005F7A39"/>
    <w:rsid w:val="005FB7AD"/>
    <w:rsid w:val="00600341"/>
    <w:rsid w:val="00600451"/>
    <w:rsid w:val="006007EB"/>
    <w:rsid w:val="0060087F"/>
    <w:rsid w:val="00600A0A"/>
    <w:rsid w:val="00600BD3"/>
    <w:rsid w:val="00600DAF"/>
    <w:rsid w:val="00601D0D"/>
    <w:rsid w:val="00602019"/>
    <w:rsid w:val="006022A6"/>
    <w:rsid w:val="006025AB"/>
    <w:rsid w:val="00602E23"/>
    <w:rsid w:val="00603270"/>
    <w:rsid w:val="00603530"/>
    <w:rsid w:val="00603CD9"/>
    <w:rsid w:val="00603FCB"/>
    <w:rsid w:val="006044A2"/>
    <w:rsid w:val="00604BEF"/>
    <w:rsid w:val="0060518B"/>
    <w:rsid w:val="0060533A"/>
    <w:rsid w:val="006075A0"/>
    <w:rsid w:val="00607AB2"/>
    <w:rsid w:val="0060CB61"/>
    <w:rsid w:val="0061047C"/>
    <w:rsid w:val="00610825"/>
    <w:rsid w:val="00610EAF"/>
    <w:rsid w:val="00610F85"/>
    <w:rsid w:val="00611163"/>
    <w:rsid w:val="00611376"/>
    <w:rsid w:val="0061165D"/>
    <w:rsid w:val="0061184B"/>
    <w:rsid w:val="0061215D"/>
    <w:rsid w:val="00612261"/>
    <w:rsid w:val="00612396"/>
    <w:rsid w:val="0061271C"/>
    <w:rsid w:val="00612C09"/>
    <w:rsid w:val="00612C5C"/>
    <w:rsid w:val="00612CC8"/>
    <w:rsid w:val="00612E6C"/>
    <w:rsid w:val="00612FCE"/>
    <w:rsid w:val="006130DE"/>
    <w:rsid w:val="006131EC"/>
    <w:rsid w:val="00613400"/>
    <w:rsid w:val="00613AE3"/>
    <w:rsid w:val="0061460D"/>
    <w:rsid w:val="00614643"/>
    <w:rsid w:val="006146B9"/>
    <w:rsid w:val="00614F75"/>
    <w:rsid w:val="00615265"/>
    <w:rsid w:val="0061542E"/>
    <w:rsid w:val="00615A42"/>
    <w:rsid w:val="00615B5C"/>
    <w:rsid w:val="006161FC"/>
    <w:rsid w:val="00616698"/>
    <w:rsid w:val="00616E1C"/>
    <w:rsid w:val="00616F7E"/>
    <w:rsid w:val="00617543"/>
    <w:rsid w:val="00617573"/>
    <w:rsid w:val="006176EA"/>
    <w:rsid w:val="00617801"/>
    <w:rsid w:val="00620915"/>
    <w:rsid w:val="00620D04"/>
    <w:rsid w:val="00620F8F"/>
    <w:rsid w:val="00621300"/>
    <w:rsid w:val="006229F2"/>
    <w:rsid w:val="006231AE"/>
    <w:rsid w:val="00623E79"/>
    <w:rsid w:val="00623EAC"/>
    <w:rsid w:val="0062487B"/>
    <w:rsid w:val="00625096"/>
    <w:rsid w:val="0062669E"/>
    <w:rsid w:val="00626BCD"/>
    <w:rsid w:val="00627601"/>
    <w:rsid w:val="006276C0"/>
    <w:rsid w:val="00627C32"/>
    <w:rsid w:val="0063049C"/>
    <w:rsid w:val="00631A87"/>
    <w:rsid w:val="00631B2A"/>
    <w:rsid w:val="006320D2"/>
    <w:rsid w:val="006323BC"/>
    <w:rsid w:val="00632CA0"/>
    <w:rsid w:val="006331E1"/>
    <w:rsid w:val="0063351B"/>
    <w:rsid w:val="00633D7F"/>
    <w:rsid w:val="00635489"/>
    <w:rsid w:val="006358A7"/>
    <w:rsid w:val="00635CE0"/>
    <w:rsid w:val="00635D78"/>
    <w:rsid w:val="00636AF0"/>
    <w:rsid w:val="00636B72"/>
    <w:rsid w:val="00636D90"/>
    <w:rsid w:val="00637663"/>
    <w:rsid w:val="00637CC4"/>
    <w:rsid w:val="00637E7D"/>
    <w:rsid w:val="006409BB"/>
    <w:rsid w:val="0064162C"/>
    <w:rsid w:val="006418A4"/>
    <w:rsid w:val="00642255"/>
    <w:rsid w:val="0064264D"/>
    <w:rsid w:val="006428AA"/>
    <w:rsid w:val="00642E16"/>
    <w:rsid w:val="006437CB"/>
    <w:rsid w:val="006438C4"/>
    <w:rsid w:val="00643DC4"/>
    <w:rsid w:val="00644368"/>
    <w:rsid w:val="006450A0"/>
    <w:rsid w:val="006457C0"/>
    <w:rsid w:val="00645B46"/>
    <w:rsid w:val="00646175"/>
    <w:rsid w:val="006464FA"/>
    <w:rsid w:val="0064659E"/>
    <w:rsid w:val="0064686D"/>
    <w:rsid w:val="006470B5"/>
    <w:rsid w:val="00647297"/>
    <w:rsid w:val="006472C3"/>
    <w:rsid w:val="006477A5"/>
    <w:rsid w:val="00647FB9"/>
    <w:rsid w:val="006502B7"/>
    <w:rsid w:val="006502E2"/>
    <w:rsid w:val="00650717"/>
    <w:rsid w:val="006508F5"/>
    <w:rsid w:val="00652E0C"/>
    <w:rsid w:val="00652E16"/>
    <w:rsid w:val="00653881"/>
    <w:rsid w:val="00653D79"/>
    <w:rsid w:val="00653DBB"/>
    <w:rsid w:val="00653E40"/>
    <w:rsid w:val="00653FE4"/>
    <w:rsid w:val="00654441"/>
    <w:rsid w:val="00654E73"/>
    <w:rsid w:val="00654FE2"/>
    <w:rsid w:val="006550C6"/>
    <w:rsid w:val="006552B5"/>
    <w:rsid w:val="006553C6"/>
    <w:rsid w:val="00655776"/>
    <w:rsid w:val="00655826"/>
    <w:rsid w:val="00655BE1"/>
    <w:rsid w:val="0065679F"/>
    <w:rsid w:val="00657828"/>
    <w:rsid w:val="00657C0F"/>
    <w:rsid w:val="00657C68"/>
    <w:rsid w:val="00657DC9"/>
    <w:rsid w:val="0066033F"/>
    <w:rsid w:val="00660A59"/>
    <w:rsid w:val="0066230E"/>
    <w:rsid w:val="006625B7"/>
    <w:rsid w:val="0066275D"/>
    <w:rsid w:val="00662878"/>
    <w:rsid w:val="00662CBF"/>
    <w:rsid w:val="00662FFF"/>
    <w:rsid w:val="00663D33"/>
    <w:rsid w:val="00663F3C"/>
    <w:rsid w:val="00663F79"/>
    <w:rsid w:val="00663FCE"/>
    <w:rsid w:val="00666844"/>
    <w:rsid w:val="00667553"/>
    <w:rsid w:val="00667A92"/>
    <w:rsid w:val="00667D99"/>
    <w:rsid w:val="0067070A"/>
    <w:rsid w:val="00670823"/>
    <w:rsid w:val="006708C8"/>
    <w:rsid w:val="00670D1F"/>
    <w:rsid w:val="00671024"/>
    <w:rsid w:val="006712A6"/>
    <w:rsid w:val="006717DC"/>
    <w:rsid w:val="006724EC"/>
    <w:rsid w:val="00673F00"/>
    <w:rsid w:val="00674CC5"/>
    <w:rsid w:val="00675592"/>
    <w:rsid w:val="00675F73"/>
    <w:rsid w:val="006761C1"/>
    <w:rsid w:val="006764EB"/>
    <w:rsid w:val="00676CE4"/>
    <w:rsid w:val="00676D48"/>
    <w:rsid w:val="00676E13"/>
    <w:rsid w:val="006772D0"/>
    <w:rsid w:val="006773CC"/>
    <w:rsid w:val="0068025C"/>
    <w:rsid w:val="00681B2F"/>
    <w:rsid w:val="00681DFB"/>
    <w:rsid w:val="00682230"/>
    <w:rsid w:val="00682383"/>
    <w:rsid w:val="006830B9"/>
    <w:rsid w:val="006839E4"/>
    <w:rsid w:val="00683F77"/>
    <w:rsid w:val="0068500C"/>
    <w:rsid w:val="00685164"/>
    <w:rsid w:val="0068522D"/>
    <w:rsid w:val="00685417"/>
    <w:rsid w:val="006856DD"/>
    <w:rsid w:val="006858BD"/>
    <w:rsid w:val="006868C3"/>
    <w:rsid w:val="0068729F"/>
    <w:rsid w:val="00687A11"/>
    <w:rsid w:val="00690BDF"/>
    <w:rsid w:val="00691302"/>
    <w:rsid w:val="006913E8"/>
    <w:rsid w:val="00691427"/>
    <w:rsid w:val="00691E32"/>
    <w:rsid w:val="00691E65"/>
    <w:rsid w:val="00692680"/>
    <w:rsid w:val="00692716"/>
    <w:rsid w:val="00692D2C"/>
    <w:rsid w:val="00693188"/>
    <w:rsid w:val="006931E1"/>
    <w:rsid w:val="006935C1"/>
    <w:rsid w:val="006938B0"/>
    <w:rsid w:val="00693DD0"/>
    <w:rsid w:val="00693DE6"/>
    <w:rsid w:val="00694C78"/>
    <w:rsid w:val="00694EED"/>
    <w:rsid w:val="006959E8"/>
    <w:rsid w:val="00696B26"/>
    <w:rsid w:val="006970CB"/>
    <w:rsid w:val="00697385"/>
    <w:rsid w:val="006975E2"/>
    <w:rsid w:val="006976D2"/>
    <w:rsid w:val="00697DE6"/>
    <w:rsid w:val="006A0132"/>
    <w:rsid w:val="006A04C8"/>
    <w:rsid w:val="006A0709"/>
    <w:rsid w:val="006A0ADE"/>
    <w:rsid w:val="006A19D3"/>
    <w:rsid w:val="006A1BC7"/>
    <w:rsid w:val="006A1EC3"/>
    <w:rsid w:val="006A2A1D"/>
    <w:rsid w:val="006A34B1"/>
    <w:rsid w:val="006A36F4"/>
    <w:rsid w:val="006A397B"/>
    <w:rsid w:val="006A429C"/>
    <w:rsid w:val="006A4AE6"/>
    <w:rsid w:val="006A4BCE"/>
    <w:rsid w:val="006A4FFA"/>
    <w:rsid w:val="006A5989"/>
    <w:rsid w:val="006A5EEB"/>
    <w:rsid w:val="006A5F81"/>
    <w:rsid w:val="006A6711"/>
    <w:rsid w:val="006A6A36"/>
    <w:rsid w:val="006A7455"/>
    <w:rsid w:val="006A74C3"/>
    <w:rsid w:val="006A7C21"/>
    <w:rsid w:val="006B08D8"/>
    <w:rsid w:val="006B0A73"/>
    <w:rsid w:val="006B112B"/>
    <w:rsid w:val="006B11AC"/>
    <w:rsid w:val="006B13E7"/>
    <w:rsid w:val="006B2802"/>
    <w:rsid w:val="006B29DA"/>
    <w:rsid w:val="006B341B"/>
    <w:rsid w:val="006B3CD7"/>
    <w:rsid w:val="006B3F11"/>
    <w:rsid w:val="006B3FBA"/>
    <w:rsid w:val="006B40DB"/>
    <w:rsid w:val="006B45BF"/>
    <w:rsid w:val="006B473A"/>
    <w:rsid w:val="006B4AA1"/>
    <w:rsid w:val="006B4D50"/>
    <w:rsid w:val="006B4F12"/>
    <w:rsid w:val="006B5175"/>
    <w:rsid w:val="006B54DD"/>
    <w:rsid w:val="006B5DB1"/>
    <w:rsid w:val="006B6857"/>
    <w:rsid w:val="006B7B0D"/>
    <w:rsid w:val="006B7EE6"/>
    <w:rsid w:val="006C140F"/>
    <w:rsid w:val="006C152E"/>
    <w:rsid w:val="006C16AE"/>
    <w:rsid w:val="006C1CB6"/>
    <w:rsid w:val="006C219E"/>
    <w:rsid w:val="006C228F"/>
    <w:rsid w:val="006C23F6"/>
    <w:rsid w:val="006C2F80"/>
    <w:rsid w:val="006C30E2"/>
    <w:rsid w:val="006C3427"/>
    <w:rsid w:val="006C3B10"/>
    <w:rsid w:val="006C3DCF"/>
    <w:rsid w:val="006C414F"/>
    <w:rsid w:val="006C4202"/>
    <w:rsid w:val="006C443C"/>
    <w:rsid w:val="006C45A4"/>
    <w:rsid w:val="006C5E78"/>
    <w:rsid w:val="006C761E"/>
    <w:rsid w:val="006C7A34"/>
    <w:rsid w:val="006D0785"/>
    <w:rsid w:val="006D08B8"/>
    <w:rsid w:val="006D0B8D"/>
    <w:rsid w:val="006D0E1E"/>
    <w:rsid w:val="006D14EE"/>
    <w:rsid w:val="006D1F62"/>
    <w:rsid w:val="006D2AC3"/>
    <w:rsid w:val="006D3518"/>
    <w:rsid w:val="006D364F"/>
    <w:rsid w:val="006D4924"/>
    <w:rsid w:val="006D4E1B"/>
    <w:rsid w:val="006D565F"/>
    <w:rsid w:val="006D5731"/>
    <w:rsid w:val="006D5A0A"/>
    <w:rsid w:val="006D6036"/>
    <w:rsid w:val="006D61DC"/>
    <w:rsid w:val="006D7AF4"/>
    <w:rsid w:val="006D7F9B"/>
    <w:rsid w:val="006E0648"/>
    <w:rsid w:val="006E06A5"/>
    <w:rsid w:val="006E1A33"/>
    <w:rsid w:val="006E2219"/>
    <w:rsid w:val="006E2314"/>
    <w:rsid w:val="006E3A7B"/>
    <w:rsid w:val="006E5079"/>
    <w:rsid w:val="006E578C"/>
    <w:rsid w:val="006E5819"/>
    <w:rsid w:val="006E6135"/>
    <w:rsid w:val="006E6BB9"/>
    <w:rsid w:val="006E6F2A"/>
    <w:rsid w:val="006E73ED"/>
    <w:rsid w:val="006E7943"/>
    <w:rsid w:val="006E7F42"/>
    <w:rsid w:val="006E7F75"/>
    <w:rsid w:val="006F0290"/>
    <w:rsid w:val="006F0B39"/>
    <w:rsid w:val="006F0CFD"/>
    <w:rsid w:val="006F0D81"/>
    <w:rsid w:val="006F1A02"/>
    <w:rsid w:val="006F239C"/>
    <w:rsid w:val="006F2544"/>
    <w:rsid w:val="006F3C9B"/>
    <w:rsid w:val="006F45C8"/>
    <w:rsid w:val="006F5E74"/>
    <w:rsid w:val="006F78E6"/>
    <w:rsid w:val="006F7C05"/>
    <w:rsid w:val="00700719"/>
    <w:rsid w:val="00700931"/>
    <w:rsid w:val="00700B5B"/>
    <w:rsid w:val="00700C9F"/>
    <w:rsid w:val="007014BE"/>
    <w:rsid w:val="00701686"/>
    <w:rsid w:val="00701779"/>
    <w:rsid w:val="00701937"/>
    <w:rsid w:val="00701941"/>
    <w:rsid w:val="00701CDA"/>
    <w:rsid w:val="00701EC7"/>
    <w:rsid w:val="00702157"/>
    <w:rsid w:val="00702C06"/>
    <w:rsid w:val="00702CF4"/>
    <w:rsid w:val="00702E83"/>
    <w:rsid w:val="00703253"/>
    <w:rsid w:val="00703788"/>
    <w:rsid w:val="00703B30"/>
    <w:rsid w:val="00703F04"/>
    <w:rsid w:val="007044D4"/>
    <w:rsid w:val="00704736"/>
    <w:rsid w:val="007047A9"/>
    <w:rsid w:val="00704A68"/>
    <w:rsid w:val="00705605"/>
    <w:rsid w:val="0070565F"/>
    <w:rsid w:val="007056C1"/>
    <w:rsid w:val="00705A19"/>
    <w:rsid w:val="00705B81"/>
    <w:rsid w:val="00706169"/>
    <w:rsid w:val="00706217"/>
    <w:rsid w:val="00706696"/>
    <w:rsid w:val="00706A7A"/>
    <w:rsid w:val="00706CF4"/>
    <w:rsid w:val="00707456"/>
    <w:rsid w:val="00707E9E"/>
    <w:rsid w:val="00707F42"/>
    <w:rsid w:val="00710500"/>
    <w:rsid w:val="00710668"/>
    <w:rsid w:val="00711C1A"/>
    <w:rsid w:val="007128B3"/>
    <w:rsid w:val="00712FFA"/>
    <w:rsid w:val="0071336C"/>
    <w:rsid w:val="00713D0F"/>
    <w:rsid w:val="00714425"/>
    <w:rsid w:val="00714BAA"/>
    <w:rsid w:val="00714E28"/>
    <w:rsid w:val="00715E32"/>
    <w:rsid w:val="00715EB2"/>
    <w:rsid w:val="007165BC"/>
    <w:rsid w:val="00716A38"/>
    <w:rsid w:val="00716BAC"/>
    <w:rsid w:val="00717957"/>
    <w:rsid w:val="00720046"/>
    <w:rsid w:val="007202D4"/>
    <w:rsid w:val="0072041E"/>
    <w:rsid w:val="0072079D"/>
    <w:rsid w:val="007209D9"/>
    <w:rsid w:val="00722A37"/>
    <w:rsid w:val="00722AB6"/>
    <w:rsid w:val="00722CAC"/>
    <w:rsid w:val="00722E05"/>
    <w:rsid w:val="007230A8"/>
    <w:rsid w:val="007230F3"/>
    <w:rsid w:val="00723170"/>
    <w:rsid w:val="007231EA"/>
    <w:rsid w:val="00723235"/>
    <w:rsid w:val="007232A9"/>
    <w:rsid w:val="00723A65"/>
    <w:rsid w:val="00724099"/>
    <w:rsid w:val="00724281"/>
    <w:rsid w:val="00724A51"/>
    <w:rsid w:val="007257F6"/>
    <w:rsid w:val="00726E1B"/>
    <w:rsid w:val="007274AF"/>
    <w:rsid w:val="00727F2F"/>
    <w:rsid w:val="00727FCA"/>
    <w:rsid w:val="00727FEF"/>
    <w:rsid w:val="007307C9"/>
    <w:rsid w:val="00731675"/>
    <w:rsid w:val="00731A0B"/>
    <w:rsid w:val="00731E23"/>
    <w:rsid w:val="0073289C"/>
    <w:rsid w:val="0073395C"/>
    <w:rsid w:val="00734EA8"/>
    <w:rsid w:val="00734FE1"/>
    <w:rsid w:val="00735412"/>
    <w:rsid w:val="00735757"/>
    <w:rsid w:val="00735C42"/>
    <w:rsid w:val="007360EB"/>
    <w:rsid w:val="00737775"/>
    <w:rsid w:val="00737AD3"/>
    <w:rsid w:val="00740161"/>
    <w:rsid w:val="00740356"/>
    <w:rsid w:val="00740927"/>
    <w:rsid w:val="00740982"/>
    <w:rsid w:val="00740BBE"/>
    <w:rsid w:val="00740F53"/>
    <w:rsid w:val="007412DD"/>
    <w:rsid w:val="00741304"/>
    <w:rsid w:val="0074142E"/>
    <w:rsid w:val="00741514"/>
    <w:rsid w:val="007421C8"/>
    <w:rsid w:val="00742806"/>
    <w:rsid w:val="00742882"/>
    <w:rsid w:val="00743DC7"/>
    <w:rsid w:val="00743EDE"/>
    <w:rsid w:val="00744365"/>
    <w:rsid w:val="0074440B"/>
    <w:rsid w:val="00744761"/>
    <w:rsid w:val="00744CBD"/>
    <w:rsid w:val="00745C23"/>
    <w:rsid w:val="00746ADB"/>
    <w:rsid w:val="00746CE4"/>
    <w:rsid w:val="00747262"/>
    <w:rsid w:val="00747D56"/>
    <w:rsid w:val="007501E3"/>
    <w:rsid w:val="00750859"/>
    <w:rsid w:val="00752529"/>
    <w:rsid w:val="007530B1"/>
    <w:rsid w:val="007538BE"/>
    <w:rsid w:val="0075448D"/>
    <w:rsid w:val="007549B8"/>
    <w:rsid w:val="00754C75"/>
    <w:rsid w:val="00755077"/>
    <w:rsid w:val="0075536F"/>
    <w:rsid w:val="00755AD2"/>
    <w:rsid w:val="007571DF"/>
    <w:rsid w:val="00757472"/>
    <w:rsid w:val="007575F1"/>
    <w:rsid w:val="00757889"/>
    <w:rsid w:val="00761093"/>
    <w:rsid w:val="00761212"/>
    <w:rsid w:val="00761A33"/>
    <w:rsid w:val="00761B36"/>
    <w:rsid w:val="00761CF6"/>
    <w:rsid w:val="00762299"/>
    <w:rsid w:val="0076239D"/>
    <w:rsid w:val="00762601"/>
    <w:rsid w:val="00763DD7"/>
    <w:rsid w:val="00764DFA"/>
    <w:rsid w:val="00764FA2"/>
    <w:rsid w:val="0076568D"/>
    <w:rsid w:val="00765F79"/>
    <w:rsid w:val="007665E2"/>
    <w:rsid w:val="00766D85"/>
    <w:rsid w:val="00767389"/>
    <w:rsid w:val="00767824"/>
    <w:rsid w:val="00767926"/>
    <w:rsid w:val="00767AF3"/>
    <w:rsid w:val="00770389"/>
    <w:rsid w:val="0077053A"/>
    <w:rsid w:val="00770D55"/>
    <w:rsid w:val="007711E5"/>
    <w:rsid w:val="007714D2"/>
    <w:rsid w:val="00771A95"/>
    <w:rsid w:val="007721D9"/>
    <w:rsid w:val="00772AF7"/>
    <w:rsid w:val="00773A12"/>
    <w:rsid w:val="00773D6B"/>
    <w:rsid w:val="00774109"/>
    <w:rsid w:val="0077449C"/>
    <w:rsid w:val="00774B51"/>
    <w:rsid w:val="00774FC7"/>
    <w:rsid w:val="007750AD"/>
    <w:rsid w:val="00775541"/>
    <w:rsid w:val="00775AB2"/>
    <w:rsid w:val="00775EC8"/>
    <w:rsid w:val="00775F0E"/>
    <w:rsid w:val="0077648F"/>
    <w:rsid w:val="00776AAA"/>
    <w:rsid w:val="00777A1C"/>
    <w:rsid w:val="00777B77"/>
    <w:rsid w:val="00780532"/>
    <w:rsid w:val="00780F16"/>
    <w:rsid w:val="00780FC5"/>
    <w:rsid w:val="00781305"/>
    <w:rsid w:val="00781C6F"/>
    <w:rsid w:val="00781FAE"/>
    <w:rsid w:val="00782188"/>
    <w:rsid w:val="00782CCC"/>
    <w:rsid w:val="007843EB"/>
    <w:rsid w:val="00784546"/>
    <w:rsid w:val="007856C4"/>
    <w:rsid w:val="00785A6D"/>
    <w:rsid w:val="00785D28"/>
    <w:rsid w:val="00786098"/>
    <w:rsid w:val="007867CC"/>
    <w:rsid w:val="00786AAD"/>
    <w:rsid w:val="00786BA9"/>
    <w:rsid w:val="00787825"/>
    <w:rsid w:val="00787929"/>
    <w:rsid w:val="00787F4B"/>
    <w:rsid w:val="0079059E"/>
    <w:rsid w:val="00790E72"/>
    <w:rsid w:val="00790E9E"/>
    <w:rsid w:val="00790F70"/>
    <w:rsid w:val="00791481"/>
    <w:rsid w:val="007920B1"/>
    <w:rsid w:val="00792C32"/>
    <w:rsid w:val="007932C6"/>
    <w:rsid w:val="007934E9"/>
    <w:rsid w:val="007939C3"/>
    <w:rsid w:val="007943D1"/>
    <w:rsid w:val="007959C8"/>
    <w:rsid w:val="00795D54"/>
    <w:rsid w:val="007967B5"/>
    <w:rsid w:val="00796810"/>
    <w:rsid w:val="00796D9D"/>
    <w:rsid w:val="007976CB"/>
    <w:rsid w:val="00797768"/>
    <w:rsid w:val="007A1192"/>
    <w:rsid w:val="007A11A3"/>
    <w:rsid w:val="007A15FC"/>
    <w:rsid w:val="007A178B"/>
    <w:rsid w:val="007A192C"/>
    <w:rsid w:val="007A1CED"/>
    <w:rsid w:val="007A2876"/>
    <w:rsid w:val="007A2BF2"/>
    <w:rsid w:val="007A3032"/>
    <w:rsid w:val="007A321A"/>
    <w:rsid w:val="007A3843"/>
    <w:rsid w:val="007A3ABA"/>
    <w:rsid w:val="007A432F"/>
    <w:rsid w:val="007A4808"/>
    <w:rsid w:val="007A4DAE"/>
    <w:rsid w:val="007A6853"/>
    <w:rsid w:val="007A68A6"/>
    <w:rsid w:val="007A73C8"/>
    <w:rsid w:val="007A73F1"/>
    <w:rsid w:val="007A74C2"/>
    <w:rsid w:val="007A770C"/>
    <w:rsid w:val="007A7995"/>
    <w:rsid w:val="007A7FB4"/>
    <w:rsid w:val="007B0E27"/>
    <w:rsid w:val="007B22AD"/>
    <w:rsid w:val="007B24B5"/>
    <w:rsid w:val="007B3CF7"/>
    <w:rsid w:val="007B3FD9"/>
    <w:rsid w:val="007B53FE"/>
    <w:rsid w:val="007B6010"/>
    <w:rsid w:val="007B63BC"/>
    <w:rsid w:val="007B721E"/>
    <w:rsid w:val="007B747C"/>
    <w:rsid w:val="007B7E4E"/>
    <w:rsid w:val="007B7E95"/>
    <w:rsid w:val="007C047F"/>
    <w:rsid w:val="007C1741"/>
    <w:rsid w:val="007C27E2"/>
    <w:rsid w:val="007C2B03"/>
    <w:rsid w:val="007C3085"/>
    <w:rsid w:val="007C322C"/>
    <w:rsid w:val="007C334C"/>
    <w:rsid w:val="007C36FC"/>
    <w:rsid w:val="007C38C0"/>
    <w:rsid w:val="007C422D"/>
    <w:rsid w:val="007C43F3"/>
    <w:rsid w:val="007C4C08"/>
    <w:rsid w:val="007C5414"/>
    <w:rsid w:val="007C54AC"/>
    <w:rsid w:val="007C5852"/>
    <w:rsid w:val="007C6066"/>
    <w:rsid w:val="007C6CD1"/>
    <w:rsid w:val="007C7330"/>
    <w:rsid w:val="007C73B3"/>
    <w:rsid w:val="007C790A"/>
    <w:rsid w:val="007D01E9"/>
    <w:rsid w:val="007D08A1"/>
    <w:rsid w:val="007D095F"/>
    <w:rsid w:val="007D0979"/>
    <w:rsid w:val="007D0D61"/>
    <w:rsid w:val="007D11FB"/>
    <w:rsid w:val="007D1583"/>
    <w:rsid w:val="007D181D"/>
    <w:rsid w:val="007D20B1"/>
    <w:rsid w:val="007D2624"/>
    <w:rsid w:val="007D2863"/>
    <w:rsid w:val="007D2FE1"/>
    <w:rsid w:val="007D35EB"/>
    <w:rsid w:val="007D395E"/>
    <w:rsid w:val="007D3DBB"/>
    <w:rsid w:val="007D42F0"/>
    <w:rsid w:val="007D4600"/>
    <w:rsid w:val="007D5B3A"/>
    <w:rsid w:val="007D6462"/>
    <w:rsid w:val="007D661D"/>
    <w:rsid w:val="007D7060"/>
    <w:rsid w:val="007E0F1F"/>
    <w:rsid w:val="007E1438"/>
    <w:rsid w:val="007E163D"/>
    <w:rsid w:val="007E17E2"/>
    <w:rsid w:val="007E1896"/>
    <w:rsid w:val="007E2050"/>
    <w:rsid w:val="007E2618"/>
    <w:rsid w:val="007E2B86"/>
    <w:rsid w:val="007E32C4"/>
    <w:rsid w:val="007E3494"/>
    <w:rsid w:val="007E391E"/>
    <w:rsid w:val="007E3A13"/>
    <w:rsid w:val="007E3D0D"/>
    <w:rsid w:val="007E44E1"/>
    <w:rsid w:val="007E487B"/>
    <w:rsid w:val="007E4DCA"/>
    <w:rsid w:val="007E4FC6"/>
    <w:rsid w:val="007E5278"/>
    <w:rsid w:val="007E5DFD"/>
    <w:rsid w:val="007E5EED"/>
    <w:rsid w:val="007E6095"/>
    <w:rsid w:val="007E6CD0"/>
    <w:rsid w:val="007E712E"/>
    <w:rsid w:val="007E7AC0"/>
    <w:rsid w:val="007E7ED1"/>
    <w:rsid w:val="007F0C81"/>
    <w:rsid w:val="007F0CFB"/>
    <w:rsid w:val="007F113B"/>
    <w:rsid w:val="007F16FF"/>
    <w:rsid w:val="007F1A05"/>
    <w:rsid w:val="007F1D3D"/>
    <w:rsid w:val="007F1E33"/>
    <w:rsid w:val="007F2236"/>
    <w:rsid w:val="007F228E"/>
    <w:rsid w:val="007F2CA1"/>
    <w:rsid w:val="007F3A93"/>
    <w:rsid w:val="007F3AE7"/>
    <w:rsid w:val="007F3CF5"/>
    <w:rsid w:val="007F400D"/>
    <w:rsid w:val="007F4143"/>
    <w:rsid w:val="007F43F9"/>
    <w:rsid w:val="007F45F4"/>
    <w:rsid w:val="007F48F7"/>
    <w:rsid w:val="007F4A78"/>
    <w:rsid w:val="007F52C0"/>
    <w:rsid w:val="007F6969"/>
    <w:rsid w:val="007F6AFF"/>
    <w:rsid w:val="007F6FE9"/>
    <w:rsid w:val="007F73FA"/>
    <w:rsid w:val="007F76D3"/>
    <w:rsid w:val="007F7D91"/>
    <w:rsid w:val="00800A10"/>
    <w:rsid w:val="00800D2C"/>
    <w:rsid w:val="00801115"/>
    <w:rsid w:val="00801143"/>
    <w:rsid w:val="008021A7"/>
    <w:rsid w:val="0080241A"/>
    <w:rsid w:val="00802B20"/>
    <w:rsid w:val="00802C4D"/>
    <w:rsid w:val="008038A1"/>
    <w:rsid w:val="00803FF1"/>
    <w:rsid w:val="00804240"/>
    <w:rsid w:val="008045D5"/>
    <w:rsid w:val="008046C0"/>
    <w:rsid w:val="0080474E"/>
    <w:rsid w:val="00804935"/>
    <w:rsid w:val="00804EBB"/>
    <w:rsid w:val="00804FA1"/>
    <w:rsid w:val="00804FBA"/>
    <w:rsid w:val="00805253"/>
    <w:rsid w:val="00805982"/>
    <w:rsid w:val="00805A6C"/>
    <w:rsid w:val="00805E71"/>
    <w:rsid w:val="00806563"/>
    <w:rsid w:val="00806CAC"/>
    <w:rsid w:val="00807A95"/>
    <w:rsid w:val="008117A5"/>
    <w:rsid w:val="008120FE"/>
    <w:rsid w:val="008123D6"/>
    <w:rsid w:val="0081262C"/>
    <w:rsid w:val="00812920"/>
    <w:rsid w:val="00812AA5"/>
    <w:rsid w:val="00812E8E"/>
    <w:rsid w:val="00813791"/>
    <w:rsid w:val="00813C5E"/>
    <w:rsid w:val="00813E92"/>
    <w:rsid w:val="0081415D"/>
    <w:rsid w:val="0081454D"/>
    <w:rsid w:val="00814818"/>
    <w:rsid w:val="0081490F"/>
    <w:rsid w:val="00814A6D"/>
    <w:rsid w:val="00814BCE"/>
    <w:rsid w:val="008150C7"/>
    <w:rsid w:val="00815E5C"/>
    <w:rsid w:val="00815E8C"/>
    <w:rsid w:val="00816B41"/>
    <w:rsid w:val="00817A0C"/>
    <w:rsid w:val="00817CC2"/>
    <w:rsid w:val="00820553"/>
    <w:rsid w:val="0082090E"/>
    <w:rsid w:val="00820DF1"/>
    <w:rsid w:val="00821C9A"/>
    <w:rsid w:val="00822766"/>
    <w:rsid w:val="00823816"/>
    <w:rsid w:val="00823BB7"/>
    <w:rsid w:val="00823F7A"/>
    <w:rsid w:val="00824220"/>
    <w:rsid w:val="00824F38"/>
    <w:rsid w:val="00825062"/>
    <w:rsid w:val="008250E3"/>
    <w:rsid w:val="0082521A"/>
    <w:rsid w:val="008266FA"/>
    <w:rsid w:val="0082729E"/>
    <w:rsid w:val="00827D74"/>
    <w:rsid w:val="00827F33"/>
    <w:rsid w:val="0082D836"/>
    <w:rsid w:val="008308E9"/>
    <w:rsid w:val="00830EE0"/>
    <w:rsid w:val="00831088"/>
    <w:rsid w:val="008310C2"/>
    <w:rsid w:val="00831591"/>
    <w:rsid w:val="0083224C"/>
    <w:rsid w:val="008328DA"/>
    <w:rsid w:val="00832F48"/>
    <w:rsid w:val="00832FE2"/>
    <w:rsid w:val="00833AE8"/>
    <w:rsid w:val="00833BF2"/>
    <w:rsid w:val="00834ACE"/>
    <w:rsid w:val="008350CA"/>
    <w:rsid w:val="008359F6"/>
    <w:rsid w:val="00835AA9"/>
    <w:rsid w:val="0083649A"/>
    <w:rsid w:val="008365B6"/>
    <w:rsid w:val="00836A28"/>
    <w:rsid w:val="00837480"/>
    <w:rsid w:val="00837AE3"/>
    <w:rsid w:val="00837C3D"/>
    <w:rsid w:val="00841206"/>
    <w:rsid w:val="00841705"/>
    <w:rsid w:val="0084227D"/>
    <w:rsid w:val="008424D2"/>
    <w:rsid w:val="0084292E"/>
    <w:rsid w:val="00843C9A"/>
    <w:rsid w:val="00843DDA"/>
    <w:rsid w:val="00843F93"/>
    <w:rsid w:val="00844424"/>
    <w:rsid w:val="00844C12"/>
    <w:rsid w:val="008450CC"/>
    <w:rsid w:val="00845B6F"/>
    <w:rsid w:val="00845D65"/>
    <w:rsid w:val="00846210"/>
    <w:rsid w:val="008464BA"/>
    <w:rsid w:val="008470BC"/>
    <w:rsid w:val="00847BB1"/>
    <w:rsid w:val="00847F1D"/>
    <w:rsid w:val="0084FE5C"/>
    <w:rsid w:val="0085008F"/>
    <w:rsid w:val="008508C1"/>
    <w:rsid w:val="00850C2D"/>
    <w:rsid w:val="0085167F"/>
    <w:rsid w:val="0085184B"/>
    <w:rsid w:val="00851AF5"/>
    <w:rsid w:val="00852387"/>
    <w:rsid w:val="00852CF0"/>
    <w:rsid w:val="00852EC2"/>
    <w:rsid w:val="00852F1A"/>
    <w:rsid w:val="0085309A"/>
    <w:rsid w:val="00853988"/>
    <w:rsid w:val="00853BEA"/>
    <w:rsid w:val="00853D21"/>
    <w:rsid w:val="00854006"/>
    <w:rsid w:val="00854A36"/>
    <w:rsid w:val="008554AD"/>
    <w:rsid w:val="00856C10"/>
    <w:rsid w:val="00856F1C"/>
    <w:rsid w:val="008570ED"/>
    <w:rsid w:val="00857329"/>
    <w:rsid w:val="008577E6"/>
    <w:rsid w:val="008602DA"/>
    <w:rsid w:val="008610D6"/>
    <w:rsid w:val="0086121E"/>
    <w:rsid w:val="0086124D"/>
    <w:rsid w:val="008618A8"/>
    <w:rsid w:val="00861F7C"/>
    <w:rsid w:val="00862802"/>
    <w:rsid w:val="00862CA9"/>
    <w:rsid w:val="00863052"/>
    <w:rsid w:val="00864061"/>
    <w:rsid w:val="00864476"/>
    <w:rsid w:val="008648BC"/>
    <w:rsid w:val="00865621"/>
    <w:rsid w:val="00866298"/>
    <w:rsid w:val="008663F0"/>
    <w:rsid w:val="008668BD"/>
    <w:rsid w:val="00867C29"/>
    <w:rsid w:val="00870174"/>
    <w:rsid w:val="008706DD"/>
    <w:rsid w:val="0087074F"/>
    <w:rsid w:val="00870F96"/>
    <w:rsid w:val="0087214F"/>
    <w:rsid w:val="00873C5D"/>
    <w:rsid w:val="00874E5A"/>
    <w:rsid w:val="0087566E"/>
    <w:rsid w:val="0087579F"/>
    <w:rsid w:val="00875820"/>
    <w:rsid w:val="0087632E"/>
    <w:rsid w:val="00876899"/>
    <w:rsid w:val="0087714D"/>
    <w:rsid w:val="00877794"/>
    <w:rsid w:val="00877812"/>
    <w:rsid w:val="00877C76"/>
    <w:rsid w:val="008806C7"/>
    <w:rsid w:val="00880714"/>
    <w:rsid w:val="008815C5"/>
    <w:rsid w:val="00881C99"/>
    <w:rsid w:val="00882270"/>
    <w:rsid w:val="0088241A"/>
    <w:rsid w:val="008825D3"/>
    <w:rsid w:val="00882F47"/>
    <w:rsid w:val="00883254"/>
    <w:rsid w:val="00883FC5"/>
    <w:rsid w:val="00884A94"/>
    <w:rsid w:val="00884DA6"/>
    <w:rsid w:val="00884FAA"/>
    <w:rsid w:val="00886119"/>
    <w:rsid w:val="00886765"/>
    <w:rsid w:val="008867C7"/>
    <w:rsid w:val="00886984"/>
    <w:rsid w:val="00890A82"/>
    <w:rsid w:val="00891FA7"/>
    <w:rsid w:val="008925D3"/>
    <w:rsid w:val="00892633"/>
    <w:rsid w:val="00892B09"/>
    <w:rsid w:val="008930E6"/>
    <w:rsid w:val="00893890"/>
    <w:rsid w:val="008940A4"/>
    <w:rsid w:val="00894246"/>
    <w:rsid w:val="0089453B"/>
    <w:rsid w:val="008947C1"/>
    <w:rsid w:val="00895873"/>
    <w:rsid w:val="00896324"/>
    <w:rsid w:val="00896973"/>
    <w:rsid w:val="0089766B"/>
    <w:rsid w:val="008A0796"/>
    <w:rsid w:val="008A12B9"/>
    <w:rsid w:val="008A12BC"/>
    <w:rsid w:val="008A13F7"/>
    <w:rsid w:val="008A1842"/>
    <w:rsid w:val="008A1A7D"/>
    <w:rsid w:val="008A1E90"/>
    <w:rsid w:val="008A247C"/>
    <w:rsid w:val="008A2A34"/>
    <w:rsid w:val="008A3114"/>
    <w:rsid w:val="008A3444"/>
    <w:rsid w:val="008A5A4A"/>
    <w:rsid w:val="008A635A"/>
    <w:rsid w:val="008A6AAE"/>
    <w:rsid w:val="008A6B59"/>
    <w:rsid w:val="008A75E8"/>
    <w:rsid w:val="008B03CD"/>
    <w:rsid w:val="008B1628"/>
    <w:rsid w:val="008B1F95"/>
    <w:rsid w:val="008B2074"/>
    <w:rsid w:val="008B2469"/>
    <w:rsid w:val="008B332A"/>
    <w:rsid w:val="008B374F"/>
    <w:rsid w:val="008B3E54"/>
    <w:rsid w:val="008B42C7"/>
    <w:rsid w:val="008B4EF9"/>
    <w:rsid w:val="008B5F8B"/>
    <w:rsid w:val="008B6103"/>
    <w:rsid w:val="008B683B"/>
    <w:rsid w:val="008B70CF"/>
    <w:rsid w:val="008B75CC"/>
    <w:rsid w:val="008B7783"/>
    <w:rsid w:val="008B7935"/>
    <w:rsid w:val="008B79EE"/>
    <w:rsid w:val="008B7CA5"/>
    <w:rsid w:val="008C0193"/>
    <w:rsid w:val="008C03AC"/>
    <w:rsid w:val="008C0626"/>
    <w:rsid w:val="008C0B6D"/>
    <w:rsid w:val="008C0EBB"/>
    <w:rsid w:val="008C30DB"/>
    <w:rsid w:val="008C34DE"/>
    <w:rsid w:val="008C4662"/>
    <w:rsid w:val="008C5F9D"/>
    <w:rsid w:val="008C5FDF"/>
    <w:rsid w:val="008C67C8"/>
    <w:rsid w:val="008C68BA"/>
    <w:rsid w:val="008C68D0"/>
    <w:rsid w:val="008C7012"/>
    <w:rsid w:val="008C7506"/>
    <w:rsid w:val="008C76FB"/>
    <w:rsid w:val="008C775C"/>
    <w:rsid w:val="008C7AD7"/>
    <w:rsid w:val="008D0B09"/>
    <w:rsid w:val="008D1072"/>
    <w:rsid w:val="008D1FC7"/>
    <w:rsid w:val="008D2532"/>
    <w:rsid w:val="008D29F4"/>
    <w:rsid w:val="008D2D15"/>
    <w:rsid w:val="008D3281"/>
    <w:rsid w:val="008D36F5"/>
    <w:rsid w:val="008D3703"/>
    <w:rsid w:val="008D3826"/>
    <w:rsid w:val="008D3FEB"/>
    <w:rsid w:val="008D44F7"/>
    <w:rsid w:val="008D4D94"/>
    <w:rsid w:val="008D53BF"/>
    <w:rsid w:val="008D5910"/>
    <w:rsid w:val="008D5BD4"/>
    <w:rsid w:val="008D5E86"/>
    <w:rsid w:val="008D5F9A"/>
    <w:rsid w:val="008D613C"/>
    <w:rsid w:val="008D62EC"/>
    <w:rsid w:val="008D6611"/>
    <w:rsid w:val="008D6739"/>
    <w:rsid w:val="008D7C95"/>
    <w:rsid w:val="008E0049"/>
    <w:rsid w:val="008E02E4"/>
    <w:rsid w:val="008E0D3F"/>
    <w:rsid w:val="008E1787"/>
    <w:rsid w:val="008E1BB0"/>
    <w:rsid w:val="008E1CAB"/>
    <w:rsid w:val="008E1D98"/>
    <w:rsid w:val="008E25E0"/>
    <w:rsid w:val="008E27F3"/>
    <w:rsid w:val="008E2DA8"/>
    <w:rsid w:val="008E319B"/>
    <w:rsid w:val="008E3235"/>
    <w:rsid w:val="008E3A37"/>
    <w:rsid w:val="008E40D5"/>
    <w:rsid w:val="008E4E50"/>
    <w:rsid w:val="008E5102"/>
    <w:rsid w:val="008E6E2E"/>
    <w:rsid w:val="008E71AF"/>
    <w:rsid w:val="008E76C1"/>
    <w:rsid w:val="008E7B63"/>
    <w:rsid w:val="008E7E4D"/>
    <w:rsid w:val="008E7FAC"/>
    <w:rsid w:val="008F00BF"/>
    <w:rsid w:val="008F1554"/>
    <w:rsid w:val="008F19B9"/>
    <w:rsid w:val="008F27C5"/>
    <w:rsid w:val="008F2AF3"/>
    <w:rsid w:val="008F2D4C"/>
    <w:rsid w:val="008F2E34"/>
    <w:rsid w:val="008F361C"/>
    <w:rsid w:val="008F37F5"/>
    <w:rsid w:val="008F3916"/>
    <w:rsid w:val="008F3DDA"/>
    <w:rsid w:val="008F454F"/>
    <w:rsid w:val="008F59FB"/>
    <w:rsid w:val="008F657D"/>
    <w:rsid w:val="008F669D"/>
    <w:rsid w:val="008F79CC"/>
    <w:rsid w:val="008F7E62"/>
    <w:rsid w:val="00900686"/>
    <w:rsid w:val="009006C4"/>
    <w:rsid w:val="00900C95"/>
    <w:rsid w:val="00901405"/>
    <w:rsid w:val="0090161B"/>
    <w:rsid w:val="00901B2D"/>
    <w:rsid w:val="00901BDD"/>
    <w:rsid w:val="0090220E"/>
    <w:rsid w:val="0090265F"/>
    <w:rsid w:val="00902B94"/>
    <w:rsid w:val="00902D58"/>
    <w:rsid w:val="00903196"/>
    <w:rsid w:val="00903649"/>
    <w:rsid w:val="009041F8"/>
    <w:rsid w:val="0090576A"/>
    <w:rsid w:val="009066C5"/>
    <w:rsid w:val="00906C79"/>
    <w:rsid w:val="0090775F"/>
    <w:rsid w:val="0090792A"/>
    <w:rsid w:val="00907F59"/>
    <w:rsid w:val="00910402"/>
    <w:rsid w:val="00910728"/>
    <w:rsid w:val="0091094C"/>
    <w:rsid w:val="00910A5F"/>
    <w:rsid w:val="00910B9C"/>
    <w:rsid w:val="00910C64"/>
    <w:rsid w:val="0091118F"/>
    <w:rsid w:val="00911222"/>
    <w:rsid w:val="0091187C"/>
    <w:rsid w:val="00911C0A"/>
    <w:rsid w:val="009136F7"/>
    <w:rsid w:val="00913F52"/>
    <w:rsid w:val="00914252"/>
    <w:rsid w:val="00914352"/>
    <w:rsid w:val="00914836"/>
    <w:rsid w:val="00914C07"/>
    <w:rsid w:val="009152C7"/>
    <w:rsid w:val="0091548E"/>
    <w:rsid w:val="00915F8F"/>
    <w:rsid w:val="0091616D"/>
    <w:rsid w:val="0091694A"/>
    <w:rsid w:val="00916AF3"/>
    <w:rsid w:val="00916BE0"/>
    <w:rsid w:val="00917CA7"/>
    <w:rsid w:val="009208C3"/>
    <w:rsid w:val="00921E26"/>
    <w:rsid w:val="00922070"/>
    <w:rsid w:val="009229F3"/>
    <w:rsid w:val="00922DFF"/>
    <w:rsid w:val="00923A50"/>
    <w:rsid w:val="00923B3C"/>
    <w:rsid w:val="00923B63"/>
    <w:rsid w:val="00923C14"/>
    <w:rsid w:val="009246CA"/>
    <w:rsid w:val="00924BC6"/>
    <w:rsid w:val="00924C54"/>
    <w:rsid w:val="0092525B"/>
    <w:rsid w:val="009256A5"/>
    <w:rsid w:val="009261E6"/>
    <w:rsid w:val="009266E6"/>
    <w:rsid w:val="00926A27"/>
    <w:rsid w:val="00926A44"/>
    <w:rsid w:val="009272F8"/>
    <w:rsid w:val="009276BC"/>
    <w:rsid w:val="009279FD"/>
    <w:rsid w:val="0093099F"/>
    <w:rsid w:val="009311E3"/>
    <w:rsid w:val="009312FA"/>
    <w:rsid w:val="00931767"/>
    <w:rsid w:val="0093177C"/>
    <w:rsid w:val="009322F6"/>
    <w:rsid w:val="00932600"/>
    <w:rsid w:val="0093376E"/>
    <w:rsid w:val="009344D5"/>
    <w:rsid w:val="009346E6"/>
    <w:rsid w:val="009352B6"/>
    <w:rsid w:val="00935514"/>
    <w:rsid w:val="00935545"/>
    <w:rsid w:val="00935782"/>
    <w:rsid w:val="0093589A"/>
    <w:rsid w:val="0093611A"/>
    <w:rsid w:val="009368CC"/>
    <w:rsid w:val="009377FE"/>
    <w:rsid w:val="00937A87"/>
    <w:rsid w:val="00937B9E"/>
    <w:rsid w:val="00940A85"/>
    <w:rsid w:val="009410EF"/>
    <w:rsid w:val="00941170"/>
    <w:rsid w:val="00941454"/>
    <w:rsid w:val="0094197B"/>
    <w:rsid w:val="00941F5F"/>
    <w:rsid w:val="0094216B"/>
    <w:rsid w:val="0094243E"/>
    <w:rsid w:val="00942D82"/>
    <w:rsid w:val="009433C7"/>
    <w:rsid w:val="00943CFB"/>
    <w:rsid w:val="0094439F"/>
    <w:rsid w:val="00944852"/>
    <w:rsid w:val="00945A09"/>
    <w:rsid w:val="00945D16"/>
    <w:rsid w:val="00945D27"/>
    <w:rsid w:val="00947330"/>
    <w:rsid w:val="00950005"/>
    <w:rsid w:val="009506EC"/>
    <w:rsid w:val="00950B02"/>
    <w:rsid w:val="00950BBA"/>
    <w:rsid w:val="00950C43"/>
    <w:rsid w:val="009516AF"/>
    <w:rsid w:val="00951AFF"/>
    <w:rsid w:val="00951F5F"/>
    <w:rsid w:val="009521E0"/>
    <w:rsid w:val="009526E7"/>
    <w:rsid w:val="00953A16"/>
    <w:rsid w:val="00953D19"/>
    <w:rsid w:val="00954030"/>
    <w:rsid w:val="009541A2"/>
    <w:rsid w:val="009551CA"/>
    <w:rsid w:val="009566BF"/>
    <w:rsid w:val="009571D7"/>
    <w:rsid w:val="009575F3"/>
    <w:rsid w:val="00960664"/>
    <w:rsid w:val="009612F8"/>
    <w:rsid w:val="00962CE0"/>
    <w:rsid w:val="0096313E"/>
    <w:rsid w:val="00963659"/>
    <w:rsid w:val="00963FE7"/>
    <w:rsid w:val="00964078"/>
    <w:rsid w:val="0096450B"/>
    <w:rsid w:val="00964516"/>
    <w:rsid w:val="00964838"/>
    <w:rsid w:val="00964840"/>
    <w:rsid w:val="00964A85"/>
    <w:rsid w:val="00966D87"/>
    <w:rsid w:val="00966EB4"/>
    <w:rsid w:val="009671E9"/>
    <w:rsid w:val="00970B1D"/>
    <w:rsid w:val="0097124E"/>
    <w:rsid w:val="009715A2"/>
    <w:rsid w:val="0097175F"/>
    <w:rsid w:val="0097195B"/>
    <w:rsid w:val="00971A77"/>
    <w:rsid w:val="00971E6A"/>
    <w:rsid w:val="00971FC8"/>
    <w:rsid w:val="00972166"/>
    <w:rsid w:val="00972D8D"/>
    <w:rsid w:val="00974845"/>
    <w:rsid w:val="00974C94"/>
    <w:rsid w:val="00975E4E"/>
    <w:rsid w:val="00975E97"/>
    <w:rsid w:val="00976282"/>
    <w:rsid w:val="0097770A"/>
    <w:rsid w:val="00977796"/>
    <w:rsid w:val="00977B3B"/>
    <w:rsid w:val="009801A0"/>
    <w:rsid w:val="00980783"/>
    <w:rsid w:val="00981684"/>
    <w:rsid w:val="0098183A"/>
    <w:rsid w:val="00981893"/>
    <w:rsid w:val="00981BCD"/>
    <w:rsid w:val="00981BCE"/>
    <w:rsid w:val="00981CCB"/>
    <w:rsid w:val="00981E55"/>
    <w:rsid w:val="009824DE"/>
    <w:rsid w:val="00982C7C"/>
    <w:rsid w:val="00983116"/>
    <w:rsid w:val="00983946"/>
    <w:rsid w:val="009840B4"/>
    <w:rsid w:val="00984351"/>
    <w:rsid w:val="00984555"/>
    <w:rsid w:val="00985A97"/>
    <w:rsid w:val="00985F3E"/>
    <w:rsid w:val="00985F53"/>
    <w:rsid w:val="009863BF"/>
    <w:rsid w:val="0098671C"/>
    <w:rsid w:val="00987304"/>
    <w:rsid w:val="00987991"/>
    <w:rsid w:val="009900A9"/>
    <w:rsid w:val="00990899"/>
    <w:rsid w:val="0099095B"/>
    <w:rsid w:val="00990BEB"/>
    <w:rsid w:val="00990EFD"/>
    <w:rsid w:val="00991109"/>
    <w:rsid w:val="00991177"/>
    <w:rsid w:val="009915D8"/>
    <w:rsid w:val="00991D8A"/>
    <w:rsid w:val="00992042"/>
    <w:rsid w:val="00992741"/>
    <w:rsid w:val="0099366F"/>
    <w:rsid w:val="00993CD2"/>
    <w:rsid w:val="0099463B"/>
    <w:rsid w:val="00994673"/>
    <w:rsid w:val="00994DB2"/>
    <w:rsid w:val="009952FA"/>
    <w:rsid w:val="00995981"/>
    <w:rsid w:val="00995D80"/>
    <w:rsid w:val="009960F5"/>
    <w:rsid w:val="00996618"/>
    <w:rsid w:val="009A06B6"/>
    <w:rsid w:val="009A148C"/>
    <w:rsid w:val="009A1BA0"/>
    <w:rsid w:val="009A1CF7"/>
    <w:rsid w:val="009A218F"/>
    <w:rsid w:val="009A27B4"/>
    <w:rsid w:val="009A285E"/>
    <w:rsid w:val="009A2CDB"/>
    <w:rsid w:val="009A2F51"/>
    <w:rsid w:val="009A3051"/>
    <w:rsid w:val="009A3A37"/>
    <w:rsid w:val="009A3D10"/>
    <w:rsid w:val="009A3FC1"/>
    <w:rsid w:val="009A4592"/>
    <w:rsid w:val="009A4A90"/>
    <w:rsid w:val="009A4E29"/>
    <w:rsid w:val="009A4E88"/>
    <w:rsid w:val="009A5649"/>
    <w:rsid w:val="009A565D"/>
    <w:rsid w:val="009A5FBC"/>
    <w:rsid w:val="009A661B"/>
    <w:rsid w:val="009A73EF"/>
    <w:rsid w:val="009A7838"/>
    <w:rsid w:val="009A788C"/>
    <w:rsid w:val="009A7CE9"/>
    <w:rsid w:val="009A7DBE"/>
    <w:rsid w:val="009B044B"/>
    <w:rsid w:val="009B082D"/>
    <w:rsid w:val="009B0BE2"/>
    <w:rsid w:val="009B0DF7"/>
    <w:rsid w:val="009B0FE9"/>
    <w:rsid w:val="009B116B"/>
    <w:rsid w:val="009B155A"/>
    <w:rsid w:val="009B1A63"/>
    <w:rsid w:val="009B1AD8"/>
    <w:rsid w:val="009B1F13"/>
    <w:rsid w:val="009B24CE"/>
    <w:rsid w:val="009B28AA"/>
    <w:rsid w:val="009B28E7"/>
    <w:rsid w:val="009B3254"/>
    <w:rsid w:val="009B3667"/>
    <w:rsid w:val="009B4C72"/>
    <w:rsid w:val="009B4CC7"/>
    <w:rsid w:val="009B5AB7"/>
    <w:rsid w:val="009B5DE9"/>
    <w:rsid w:val="009B6368"/>
    <w:rsid w:val="009B71AC"/>
    <w:rsid w:val="009B7740"/>
    <w:rsid w:val="009B78FA"/>
    <w:rsid w:val="009B7CBB"/>
    <w:rsid w:val="009B7EB9"/>
    <w:rsid w:val="009B7F6B"/>
    <w:rsid w:val="009C2544"/>
    <w:rsid w:val="009C296D"/>
    <w:rsid w:val="009C3186"/>
    <w:rsid w:val="009C353B"/>
    <w:rsid w:val="009C3FFD"/>
    <w:rsid w:val="009C425D"/>
    <w:rsid w:val="009C43FA"/>
    <w:rsid w:val="009C52C1"/>
    <w:rsid w:val="009C55C1"/>
    <w:rsid w:val="009C5B44"/>
    <w:rsid w:val="009C6162"/>
    <w:rsid w:val="009C68F3"/>
    <w:rsid w:val="009C6A3E"/>
    <w:rsid w:val="009C6FEE"/>
    <w:rsid w:val="009C7E8E"/>
    <w:rsid w:val="009D0054"/>
    <w:rsid w:val="009D0664"/>
    <w:rsid w:val="009D0D04"/>
    <w:rsid w:val="009D10F0"/>
    <w:rsid w:val="009D190C"/>
    <w:rsid w:val="009D1D92"/>
    <w:rsid w:val="009D396C"/>
    <w:rsid w:val="009D3ED8"/>
    <w:rsid w:val="009D46A2"/>
    <w:rsid w:val="009D47CB"/>
    <w:rsid w:val="009D4C9A"/>
    <w:rsid w:val="009D567F"/>
    <w:rsid w:val="009D59C4"/>
    <w:rsid w:val="009D6781"/>
    <w:rsid w:val="009D70A1"/>
    <w:rsid w:val="009E0C15"/>
    <w:rsid w:val="009E1070"/>
    <w:rsid w:val="009E1C05"/>
    <w:rsid w:val="009E1C09"/>
    <w:rsid w:val="009E2A89"/>
    <w:rsid w:val="009E2AEB"/>
    <w:rsid w:val="009E5582"/>
    <w:rsid w:val="009E57EF"/>
    <w:rsid w:val="009E5842"/>
    <w:rsid w:val="009E58BF"/>
    <w:rsid w:val="009E5DF2"/>
    <w:rsid w:val="009E6AEC"/>
    <w:rsid w:val="009E72EE"/>
    <w:rsid w:val="009ECCB0"/>
    <w:rsid w:val="009F088C"/>
    <w:rsid w:val="009F09AC"/>
    <w:rsid w:val="009F1376"/>
    <w:rsid w:val="009F1419"/>
    <w:rsid w:val="009F147C"/>
    <w:rsid w:val="009F2403"/>
    <w:rsid w:val="009F290F"/>
    <w:rsid w:val="009F3414"/>
    <w:rsid w:val="009F34F4"/>
    <w:rsid w:val="009F37AD"/>
    <w:rsid w:val="009F3A9B"/>
    <w:rsid w:val="009F3B59"/>
    <w:rsid w:val="009F3DF9"/>
    <w:rsid w:val="009F5E72"/>
    <w:rsid w:val="009F6018"/>
    <w:rsid w:val="009F610C"/>
    <w:rsid w:val="009F6EF5"/>
    <w:rsid w:val="009F7D74"/>
    <w:rsid w:val="009F7EF0"/>
    <w:rsid w:val="00A00703"/>
    <w:rsid w:val="00A01103"/>
    <w:rsid w:val="00A012A7"/>
    <w:rsid w:val="00A01762"/>
    <w:rsid w:val="00A01B4A"/>
    <w:rsid w:val="00A01E01"/>
    <w:rsid w:val="00A01F6A"/>
    <w:rsid w:val="00A01FF1"/>
    <w:rsid w:val="00A02792"/>
    <w:rsid w:val="00A02ADD"/>
    <w:rsid w:val="00A03748"/>
    <w:rsid w:val="00A037BD"/>
    <w:rsid w:val="00A045DC"/>
    <w:rsid w:val="00A047BA"/>
    <w:rsid w:val="00A048E4"/>
    <w:rsid w:val="00A0528B"/>
    <w:rsid w:val="00A06115"/>
    <w:rsid w:val="00A0628F"/>
    <w:rsid w:val="00A063A1"/>
    <w:rsid w:val="00A06E28"/>
    <w:rsid w:val="00A06E95"/>
    <w:rsid w:val="00A07029"/>
    <w:rsid w:val="00A075CF"/>
    <w:rsid w:val="00A07798"/>
    <w:rsid w:val="00A07858"/>
    <w:rsid w:val="00A07AED"/>
    <w:rsid w:val="00A07D44"/>
    <w:rsid w:val="00A07D84"/>
    <w:rsid w:val="00A102A4"/>
    <w:rsid w:val="00A104AD"/>
    <w:rsid w:val="00A1069B"/>
    <w:rsid w:val="00A10A4C"/>
    <w:rsid w:val="00A10DE4"/>
    <w:rsid w:val="00A11BD4"/>
    <w:rsid w:val="00A11C46"/>
    <w:rsid w:val="00A12644"/>
    <w:rsid w:val="00A12712"/>
    <w:rsid w:val="00A14A12"/>
    <w:rsid w:val="00A14E09"/>
    <w:rsid w:val="00A15495"/>
    <w:rsid w:val="00A156AB"/>
    <w:rsid w:val="00A162D5"/>
    <w:rsid w:val="00A17242"/>
    <w:rsid w:val="00A17674"/>
    <w:rsid w:val="00A17746"/>
    <w:rsid w:val="00A20A53"/>
    <w:rsid w:val="00A20D00"/>
    <w:rsid w:val="00A21A5F"/>
    <w:rsid w:val="00A21E9E"/>
    <w:rsid w:val="00A22A73"/>
    <w:rsid w:val="00A22C03"/>
    <w:rsid w:val="00A23253"/>
    <w:rsid w:val="00A23CC7"/>
    <w:rsid w:val="00A24D7E"/>
    <w:rsid w:val="00A24E25"/>
    <w:rsid w:val="00A2519F"/>
    <w:rsid w:val="00A251C7"/>
    <w:rsid w:val="00A25906"/>
    <w:rsid w:val="00A26161"/>
    <w:rsid w:val="00A2692E"/>
    <w:rsid w:val="00A26AE5"/>
    <w:rsid w:val="00A300D0"/>
    <w:rsid w:val="00A30797"/>
    <w:rsid w:val="00A317A5"/>
    <w:rsid w:val="00A31AC2"/>
    <w:rsid w:val="00A3218B"/>
    <w:rsid w:val="00A3219B"/>
    <w:rsid w:val="00A326BA"/>
    <w:rsid w:val="00A3280E"/>
    <w:rsid w:val="00A329D0"/>
    <w:rsid w:val="00A32F24"/>
    <w:rsid w:val="00A3484E"/>
    <w:rsid w:val="00A34E0C"/>
    <w:rsid w:val="00A354C0"/>
    <w:rsid w:val="00A35942"/>
    <w:rsid w:val="00A35947"/>
    <w:rsid w:val="00A36E9E"/>
    <w:rsid w:val="00A3706D"/>
    <w:rsid w:val="00A373D9"/>
    <w:rsid w:val="00A4035C"/>
    <w:rsid w:val="00A40663"/>
    <w:rsid w:val="00A40969"/>
    <w:rsid w:val="00A4098D"/>
    <w:rsid w:val="00A40BE1"/>
    <w:rsid w:val="00A40C30"/>
    <w:rsid w:val="00A40EA3"/>
    <w:rsid w:val="00A42A79"/>
    <w:rsid w:val="00A436D2"/>
    <w:rsid w:val="00A443F2"/>
    <w:rsid w:val="00A445FB"/>
    <w:rsid w:val="00A4496C"/>
    <w:rsid w:val="00A44B0F"/>
    <w:rsid w:val="00A44DCE"/>
    <w:rsid w:val="00A45821"/>
    <w:rsid w:val="00A45822"/>
    <w:rsid w:val="00A46E9F"/>
    <w:rsid w:val="00A46F76"/>
    <w:rsid w:val="00A47DEA"/>
    <w:rsid w:val="00A5032B"/>
    <w:rsid w:val="00A50EAC"/>
    <w:rsid w:val="00A52395"/>
    <w:rsid w:val="00A53261"/>
    <w:rsid w:val="00A53656"/>
    <w:rsid w:val="00A53F52"/>
    <w:rsid w:val="00A545C5"/>
    <w:rsid w:val="00A55EA9"/>
    <w:rsid w:val="00A56F36"/>
    <w:rsid w:val="00A56FBB"/>
    <w:rsid w:val="00A57877"/>
    <w:rsid w:val="00A57F9E"/>
    <w:rsid w:val="00A605E0"/>
    <w:rsid w:val="00A61C8E"/>
    <w:rsid w:val="00A61E6D"/>
    <w:rsid w:val="00A61F09"/>
    <w:rsid w:val="00A622E1"/>
    <w:rsid w:val="00A62301"/>
    <w:rsid w:val="00A62A2A"/>
    <w:rsid w:val="00A63827"/>
    <w:rsid w:val="00A6434F"/>
    <w:rsid w:val="00A643CD"/>
    <w:rsid w:val="00A648BE"/>
    <w:rsid w:val="00A64D0A"/>
    <w:rsid w:val="00A65008"/>
    <w:rsid w:val="00A6517C"/>
    <w:rsid w:val="00A65477"/>
    <w:rsid w:val="00A65931"/>
    <w:rsid w:val="00A65BCF"/>
    <w:rsid w:val="00A66463"/>
    <w:rsid w:val="00A6661F"/>
    <w:rsid w:val="00A6669F"/>
    <w:rsid w:val="00A678CE"/>
    <w:rsid w:val="00A7036D"/>
    <w:rsid w:val="00A70675"/>
    <w:rsid w:val="00A70CCC"/>
    <w:rsid w:val="00A70EAA"/>
    <w:rsid w:val="00A712D3"/>
    <w:rsid w:val="00A715BB"/>
    <w:rsid w:val="00A71675"/>
    <w:rsid w:val="00A71A47"/>
    <w:rsid w:val="00A71C50"/>
    <w:rsid w:val="00A71E0A"/>
    <w:rsid w:val="00A722A4"/>
    <w:rsid w:val="00A74112"/>
    <w:rsid w:val="00A74DF7"/>
    <w:rsid w:val="00A74F15"/>
    <w:rsid w:val="00A755C9"/>
    <w:rsid w:val="00A761ED"/>
    <w:rsid w:val="00A76C2F"/>
    <w:rsid w:val="00A77176"/>
    <w:rsid w:val="00A77428"/>
    <w:rsid w:val="00A776C0"/>
    <w:rsid w:val="00A77C33"/>
    <w:rsid w:val="00A77D64"/>
    <w:rsid w:val="00A8033E"/>
    <w:rsid w:val="00A80720"/>
    <w:rsid w:val="00A8121A"/>
    <w:rsid w:val="00A81603"/>
    <w:rsid w:val="00A816A2"/>
    <w:rsid w:val="00A81AEE"/>
    <w:rsid w:val="00A81CF0"/>
    <w:rsid w:val="00A81E94"/>
    <w:rsid w:val="00A81EC4"/>
    <w:rsid w:val="00A822D2"/>
    <w:rsid w:val="00A824AA"/>
    <w:rsid w:val="00A82F1E"/>
    <w:rsid w:val="00A84BFD"/>
    <w:rsid w:val="00A84D3B"/>
    <w:rsid w:val="00A84F27"/>
    <w:rsid w:val="00A85B15"/>
    <w:rsid w:val="00A8772E"/>
    <w:rsid w:val="00A87B98"/>
    <w:rsid w:val="00A87BF6"/>
    <w:rsid w:val="00A90EC4"/>
    <w:rsid w:val="00A90F31"/>
    <w:rsid w:val="00A91811"/>
    <w:rsid w:val="00A92553"/>
    <w:rsid w:val="00A926F3"/>
    <w:rsid w:val="00A927B0"/>
    <w:rsid w:val="00A92E16"/>
    <w:rsid w:val="00A93219"/>
    <w:rsid w:val="00A93BFF"/>
    <w:rsid w:val="00A94DBA"/>
    <w:rsid w:val="00A94F18"/>
    <w:rsid w:val="00A95082"/>
    <w:rsid w:val="00A9524C"/>
    <w:rsid w:val="00A95D3A"/>
    <w:rsid w:val="00A95E6E"/>
    <w:rsid w:val="00A961ED"/>
    <w:rsid w:val="00A9661D"/>
    <w:rsid w:val="00A96748"/>
    <w:rsid w:val="00A97A2C"/>
    <w:rsid w:val="00A97E0D"/>
    <w:rsid w:val="00AA0629"/>
    <w:rsid w:val="00AA0B26"/>
    <w:rsid w:val="00AA0F19"/>
    <w:rsid w:val="00AA1185"/>
    <w:rsid w:val="00AA1EA0"/>
    <w:rsid w:val="00AA2ACE"/>
    <w:rsid w:val="00AA321D"/>
    <w:rsid w:val="00AA35CC"/>
    <w:rsid w:val="00AA3CAD"/>
    <w:rsid w:val="00AA40EE"/>
    <w:rsid w:val="00AA450D"/>
    <w:rsid w:val="00AA45EB"/>
    <w:rsid w:val="00AA5116"/>
    <w:rsid w:val="00AA5C02"/>
    <w:rsid w:val="00AA746A"/>
    <w:rsid w:val="00AA766D"/>
    <w:rsid w:val="00AA7887"/>
    <w:rsid w:val="00AA7988"/>
    <w:rsid w:val="00AA7C04"/>
    <w:rsid w:val="00AB04C6"/>
    <w:rsid w:val="00AB0571"/>
    <w:rsid w:val="00AB0819"/>
    <w:rsid w:val="00AB0D96"/>
    <w:rsid w:val="00AB1111"/>
    <w:rsid w:val="00AB11E3"/>
    <w:rsid w:val="00AB1916"/>
    <w:rsid w:val="00AB1BBA"/>
    <w:rsid w:val="00AB2630"/>
    <w:rsid w:val="00AB2875"/>
    <w:rsid w:val="00AB31A0"/>
    <w:rsid w:val="00AB39EB"/>
    <w:rsid w:val="00AB433C"/>
    <w:rsid w:val="00AB467B"/>
    <w:rsid w:val="00AB4FB0"/>
    <w:rsid w:val="00AB514A"/>
    <w:rsid w:val="00AB5DB5"/>
    <w:rsid w:val="00AB62C3"/>
    <w:rsid w:val="00AB6547"/>
    <w:rsid w:val="00AB6BE1"/>
    <w:rsid w:val="00AB7B81"/>
    <w:rsid w:val="00AC1255"/>
    <w:rsid w:val="00AC139F"/>
    <w:rsid w:val="00AC1439"/>
    <w:rsid w:val="00AC1AE3"/>
    <w:rsid w:val="00AC2B0E"/>
    <w:rsid w:val="00AC2CF3"/>
    <w:rsid w:val="00AC2ED5"/>
    <w:rsid w:val="00AC31A3"/>
    <w:rsid w:val="00AC3777"/>
    <w:rsid w:val="00AC4155"/>
    <w:rsid w:val="00AC47C0"/>
    <w:rsid w:val="00AC47D5"/>
    <w:rsid w:val="00AC4A33"/>
    <w:rsid w:val="00AC60D3"/>
    <w:rsid w:val="00AC66DA"/>
    <w:rsid w:val="00AC67EB"/>
    <w:rsid w:val="00AC760E"/>
    <w:rsid w:val="00AC7CA5"/>
    <w:rsid w:val="00AD02D0"/>
    <w:rsid w:val="00AD0AB0"/>
    <w:rsid w:val="00AD1BAE"/>
    <w:rsid w:val="00AD2D88"/>
    <w:rsid w:val="00AD2E61"/>
    <w:rsid w:val="00AD34D0"/>
    <w:rsid w:val="00AD3801"/>
    <w:rsid w:val="00AD39B1"/>
    <w:rsid w:val="00AD44F8"/>
    <w:rsid w:val="00AD51F4"/>
    <w:rsid w:val="00AD5DC9"/>
    <w:rsid w:val="00AD5F46"/>
    <w:rsid w:val="00AD6031"/>
    <w:rsid w:val="00AD6517"/>
    <w:rsid w:val="00AD7CDB"/>
    <w:rsid w:val="00AD7F47"/>
    <w:rsid w:val="00AE3670"/>
    <w:rsid w:val="00AE3BB8"/>
    <w:rsid w:val="00AE40F0"/>
    <w:rsid w:val="00AE4BBD"/>
    <w:rsid w:val="00AE4FB8"/>
    <w:rsid w:val="00AE50E3"/>
    <w:rsid w:val="00AE5352"/>
    <w:rsid w:val="00AE5455"/>
    <w:rsid w:val="00AE6D83"/>
    <w:rsid w:val="00AE7F91"/>
    <w:rsid w:val="00AF02A4"/>
    <w:rsid w:val="00AF1C42"/>
    <w:rsid w:val="00AF2308"/>
    <w:rsid w:val="00AF2655"/>
    <w:rsid w:val="00AF2BD5"/>
    <w:rsid w:val="00AF3244"/>
    <w:rsid w:val="00AF3BDB"/>
    <w:rsid w:val="00AF3BEB"/>
    <w:rsid w:val="00AF3C70"/>
    <w:rsid w:val="00AF42D0"/>
    <w:rsid w:val="00AF4308"/>
    <w:rsid w:val="00AF4911"/>
    <w:rsid w:val="00AF4A14"/>
    <w:rsid w:val="00AF55DB"/>
    <w:rsid w:val="00AF560B"/>
    <w:rsid w:val="00AF5A50"/>
    <w:rsid w:val="00AF68A5"/>
    <w:rsid w:val="00AF6E65"/>
    <w:rsid w:val="00AF70C6"/>
    <w:rsid w:val="00AF71B7"/>
    <w:rsid w:val="00AF7289"/>
    <w:rsid w:val="00AF7699"/>
    <w:rsid w:val="00AF7871"/>
    <w:rsid w:val="00AF7988"/>
    <w:rsid w:val="00AF7F08"/>
    <w:rsid w:val="00B004F8"/>
    <w:rsid w:val="00B0064E"/>
    <w:rsid w:val="00B00F4B"/>
    <w:rsid w:val="00B022D2"/>
    <w:rsid w:val="00B0348C"/>
    <w:rsid w:val="00B037BF"/>
    <w:rsid w:val="00B038BF"/>
    <w:rsid w:val="00B03CE9"/>
    <w:rsid w:val="00B040E0"/>
    <w:rsid w:val="00B041C1"/>
    <w:rsid w:val="00B042F8"/>
    <w:rsid w:val="00B04420"/>
    <w:rsid w:val="00B045EE"/>
    <w:rsid w:val="00B0483D"/>
    <w:rsid w:val="00B05C13"/>
    <w:rsid w:val="00B05E72"/>
    <w:rsid w:val="00B06A81"/>
    <w:rsid w:val="00B07B05"/>
    <w:rsid w:val="00B07D41"/>
    <w:rsid w:val="00B10083"/>
    <w:rsid w:val="00B1036E"/>
    <w:rsid w:val="00B10877"/>
    <w:rsid w:val="00B10F90"/>
    <w:rsid w:val="00B11742"/>
    <w:rsid w:val="00B119F1"/>
    <w:rsid w:val="00B11C43"/>
    <w:rsid w:val="00B12269"/>
    <w:rsid w:val="00B123D0"/>
    <w:rsid w:val="00B1298A"/>
    <w:rsid w:val="00B12CCC"/>
    <w:rsid w:val="00B1364F"/>
    <w:rsid w:val="00B13B19"/>
    <w:rsid w:val="00B13BD1"/>
    <w:rsid w:val="00B13FD3"/>
    <w:rsid w:val="00B14F40"/>
    <w:rsid w:val="00B1523C"/>
    <w:rsid w:val="00B15468"/>
    <w:rsid w:val="00B15B57"/>
    <w:rsid w:val="00B16427"/>
    <w:rsid w:val="00B167CC"/>
    <w:rsid w:val="00B16C5B"/>
    <w:rsid w:val="00B178EC"/>
    <w:rsid w:val="00B17B76"/>
    <w:rsid w:val="00B17C6E"/>
    <w:rsid w:val="00B17D82"/>
    <w:rsid w:val="00B17FE7"/>
    <w:rsid w:val="00B20A41"/>
    <w:rsid w:val="00B20E74"/>
    <w:rsid w:val="00B21395"/>
    <w:rsid w:val="00B216EE"/>
    <w:rsid w:val="00B21FB5"/>
    <w:rsid w:val="00B2203D"/>
    <w:rsid w:val="00B22373"/>
    <w:rsid w:val="00B223A5"/>
    <w:rsid w:val="00B226D0"/>
    <w:rsid w:val="00B237A9"/>
    <w:rsid w:val="00B239F7"/>
    <w:rsid w:val="00B24E6E"/>
    <w:rsid w:val="00B25589"/>
    <w:rsid w:val="00B25806"/>
    <w:rsid w:val="00B260B2"/>
    <w:rsid w:val="00B265FC"/>
    <w:rsid w:val="00B26AB3"/>
    <w:rsid w:val="00B27299"/>
    <w:rsid w:val="00B275B1"/>
    <w:rsid w:val="00B27859"/>
    <w:rsid w:val="00B30CF8"/>
    <w:rsid w:val="00B30DFE"/>
    <w:rsid w:val="00B3153B"/>
    <w:rsid w:val="00B318A8"/>
    <w:rsid w:val="00B31DDD"/>
    <w:rsid w:val="00B320F5"/>
    <w:rsid w:val="00B322F0"/>
    <w:rsid w:val="00B32E80"/>
    <w:rsid w:val="00B333FC"/>
    <w:rsid w:val="00B33BE2"/>
    <w:rsid w:val="00B33FF6"/>
    <w:rsid w:val="00B34DB4"/>
    <w:rsid w:val="00B34F50"/>
    <w:rsid w:val="00B36450"/>
    <w:rsid w:val="00B36654"/>
    <w:rsid w:val="00B3772F"/>
    <w:rsid w:val="00B37B28"/>
    <w:rsid w:val="00B37BDC"/>
    <w:rsid w:val="00B37E1C"/>
    <w:rsid w:val="00B406BA"/>
    <w:rsid w:val="00B4072A"/>
    <w:rsid w:val="00B407B8"/>
    <w:rsid w:val="00B40A9C"/>
    <w:rsid w:val="00B40F90"/>
    <w:rsid w:val="00B41256"/>
    <w:rsid w:val="00B41659"/>
    <w:rsid w:val="00B41B49"/>
    <w:rsid w:val="00B420FD"/>
    <w:rsid w:val="00B42685"/>
    <w:rsid w:val="00B43107"/>
    <w:rsid w:val="00B433C0"/>
    <w:rsid w:val="00B4354D"/>
    <w:rsid w:val="00B436A3"/>
    <w:rsid w:val="00B43AF3"/>
    <w:rsid w:val="00B43CA5"/>
    <w:rsid w:val="00B44F06"/>
    <w:rsid w:val="00B4531C"/>
    <w:rsid w:val="00B4560E"/>
    <w:rsid w:val="00B45757"/>
    <w:rsid w:val="00B457E8"/>
    <w:rsid w:val="00B45FF1"/>
    <w:rsid w:val="00B4607D"/>
    <w:rsid w:val="00B46751"/>
    <w:rsid w:val="00B46806"/>
    <w:rsid w:val="00B5002A"/>
    <w:rsid w:val="00B50047"/>
    <w:rsid w:val="00B5076E"/>
    <w:rsid w:val="00B50986"/>
    <w:rsid w:val="00B50D0E"/>
    <w:rsid w:val="00B51529"/>
    <w:rsid w:val="00B51CA9"/>
    <w:rsid w:val="00B51CF0"/>
    <w:rsid w:val="00B51F93"/>
    <w:rsid w:val="00B52472"/>
    <w:rsid w:val="00B526AF"/>
    <w:rsid w:val="00B527E6"/>
    <w:rsid w:val="00B5392C"/>
    <w:rsid w:val="00B53C39"/>
    <w:rsid w:val="00B53CC5"/>
    <w:rsid w:val="00B54374"/>
    <w:rsid w:val="00B54452"/>
    <w:rsid w:val="00B55034"/>
    <w:rsid w:val="00B55579"/>
    <w:rsid w:val="00B55A6E"/>
    <w:rsid w:val="00B55D59"/>
    <w:rsid w:val="00B56037"/>
    <w:rsid w:val="00B5649A"/>
    <w:rsid w:val="00B57813"/>
    <w:rsid w:val="00B57855"/>
    <w:rsid w:val="00B60399"/>
    <w:rsid w:val="00B61A90"/>
    <w:rsid w:val="00B62367"/>
    <w:rsid w:val="00B62728"/>
    <w:rsid w:val="00B62B89"/>
    <w:rsid w:val="00B643C9"/>
    <w:rsid w:val="00B64587"/>
    <w:rsid w:val="00B647F5"/>
    <w:rsid w:val="00B658E6"/>
    <w:rsid w:val="00B67458"/>
    <w:rsid w:val="00B67F71"/>
    <w:rsid w:val="00B700FE"/>
    <w:rsid w:val="00B70DDD"/>
    <w:rsid w:val="00B71055"/>
    <w:rsid w:val="00B71409"/>
    <w:rsid w:val="00B720A7"/>
    <w:rsid w:val="00B7232E"/>
    <w:rsid w:val="00B72973"/>
    <w:rsid w:val="00B72F86"/>
    <w:rsid w:val="00B731A6"/>
    <w:rsid w:val="00B73534"/>
    <w:rsid w:val="00B7361A"/>
    <w:rsid w:val="00B73693"/>
    <w:rsid w:val="00B73956"/>
    <w:rsid w:val="00B74848"/>
    <w:rsid w:val="00B761E3"/>
    <w:rsid w:val="00B772DA"/>
    <w:rsid w:val="00B77F46"/>
    <w:rsid w:val="00B80413"/>
    <w:rsid w:val="00B8084E"/>
    <w:rsid w:val="00B80D35"/>
    <w:rsid w:val="00B81180"/>
    <w:rsid w:val="00B81429"/>
    <w:rsid w:val="00B815FA"/>
    <w:rsid w:val="00B81BBB"/>
    <w:rsid w:val="00B81E50"/>
    <w:rsid w:val="00B82709"/>
    <w:rsid w:val="00B8299E"/>
    <w:rsid w:val="00B82B4D"/>
    <w:rsid w:val="00B82D35"/>
    <w:rsid w:val="00B83493"/>
    <w:rsid w:val="00B8493F"/>
    <w:rsid w:val="00B85395"/>
    <w:rsid w:val="00B85737"/>
    <w:rsid w:val="00B85E24"/>
    <w:rsid w:val="00B85F60"/>
    <w:rsid w:val="00B8616B"/>
    <w:rsid w:val="00B86C15"/>
    <w:rsid w:val="00B874B3"/>
    <w:rsid w:val="00B9006E"/>
    <w:rsid w:val="00B90653"/>
    <w:rsid w:val="00B90A36"/>
    <w:rsid w:val="00B91601"/>
    <w:rsid w:val="00B91EA3"/>
    <w:rsid w:val="00B931D5"/>
    <w:rsid w:val="00B93554"/>
    <w:rsid w:val="00B9365C"/>
    <w:rsid w:val="00B93FE7"/>
    <w:rsid w:val="00B94101"/>
    <w:rsid w:val="00B94610"/>
    <w:rsid w:val="00B9468B"/>
    <w:rsid w:val="00B953B0"/>
    <w:rsid w:val="00B95B0B"/>
    <w:rsid w:val="00B95B3B"/>
    <w:rsid w:val="00B962A1"/>
    <w:rsid w:val="00B96510"/>
    <w:rsid w:val="00B96AA2"/>
    <w:rsid w:val="00B9701B"/>
    <w:rsid w:val="00B97883"/>
    <w:rsid w:val="00B97B9C"/>
    <w:rsid w:val="00B97E07"/>
    <w:rsid w:val="00BA061B"/>
    <w:rsid w:val="00BA1D07"/>
    <w:rsid w:val="00BA1FE3"/>
    <w:rsid w:val="00BA2A50"/>
    <w:rsid w:val="00BA2DDD"/>
    <w:rsid w:val="00BA3A6C"/>
    <w:rsid w:val="00BA3F5E"/>
    <w:rsid w:val="00BA40A8"/>
    <w:rsid w:val="00BA4A61"/>
    <w:rsid w:val="00BA4F29"/>
    <w:rsid w:val="00BA5565"/>
    <w:rsid w:val="00BA6783"/>
    <w:rsid w:val="00BA6D7F"/>
    <w:rsid w:val="00BA6FCF"/>
    <w:rsid w:val="00BA7559"/>
    <w:rsid w:val="00BA7723"/>
    <w:rsid w:val="00BA7B60"/>
    <w:rsid w:val="00BA7CAE"/>
    <w:rsid w:val="00BB01F4"/>
    <w:rsid w:val="00BB027F"/>
    <w:rsid w:val="00BB0624"/>
    <w:rsid w:val="00BB09FD"/>
    <w:rsid w:val="00BB0E67"/>
    <w:rsid w:val="00BB0FD8"/>
    <w:rsid w:val="00BB12DE"/>
    <w:rsid w:val="00BB178D"/>
    <w:rsid w:val="00BB1C66"/>
    <w:rsid w:val="00BB1E32"/>
    <w:rsid w:val="00BB2906"/>
    <w:rsid w:val="00BB34E9"/>
    <w:rsid w:val="00BB41CE"/>
    <w:rsid w:val="00BB46CE"/>
    <w:rsid w:val="00BB48F1"/>
    <w:rsid w:val="00BB5C45"/>
    <w:rsid w:val="00BB6C6F"/>
    <w:rsid w:val="00BB73D6"/>
    <w:rsid w:val="00BB79F1"/>
    <w:rsid w:val="00BB7AD6"/>
    <w:rsid w:val="00BB7BE0"/>
    <w:rsid w:val="00BB7D53"/>
    <w:rsid w:val="00BB7F68"/>
    <w:rsid w:val="00BC0B98"/>
    <w:rsid w:val="00BC0E09"/>
    <w:rsid w:val="00BC1016"/>
    <w:rsid w:val="00BC14AC"/>
    <w:rsid w:val="00BC14D5"/>
    <w:rsid w:val="00BC14FE"/>
    <w:rsid w:val="00BC1538"/>
    <w:rsid w:val="00BC157A"/>
    <w:rsid w:val="00BC1B3C"/>
    <w:rsid w:val="00BC1E5E"/>
    <w:rsid w:val="00BC2EEE"/>
    <w:rsid w:val="00BC2F34"/>
    <w:rsid w:val="00BC3984"/>
    <w:rsid w:val="00BC3A7C"/>
    <w:rsid w:val="00BC444E"/>
    <w:rsid w:val="00BC5925"/>
    <w:rsid w:val="00BC5BAD"/>
    <w:rsid w:val="00BC5C5F"/>
    <w:rsid w:val="00BC6228"/>
    <w:rsid w:val="00BC70E5"/>
    <w:rsid w:val="00BC7101"/>
    <w:rsid w:val="00BC7FF5"/>
    <w:rsid w:val="00BD0D04"/>
    <w:rsid w:val="00BD19E5"/>
    <w:rsid w:val="00BD1EEE"/>
    <w:rsid w:val="00BD2B1B"/>
    <w:rsid w:val="00BD2D31"/>
    <w:rsid w:val="00BD2F3F"/>
    <w:rsid w:val="00BD36AF"/>
    <w:rsid w:val="00BD394E"/>
    <w:rsid w:val="00BD3990"/>
    <w:rsid w:val="00BD4642"/>
    <w:rsid w:val="00BD478C"/>
    <w:rsid w:val="00BD4F14"/>
    <w:rsid w:val="00BD5456"/>
    <w:rsid w:val="00BD59CE"/>
    <w:rsid w:val="00BD60E5"/>
    <w:rsid w:val="00BD6373"/>
    <w:rsid w:val="00BD6DE9"/>
    <w:rsid w:val="00BD6DFF"/>
    <w:rsid w:val="00BE076D"/>
    <w:rsid w:val="00BE0A6D"/>
    <w:rsid w:val="00BE179A"/>
    <w:rsid w:val="00BE2D44"/>
    <w:rsid w:val="00BE2DA4"/>
    <w:rsid w:val="00BE2E4E"/>
    <w:rsid w:val="00BE2EAF"/>
    <w:rsid w:val="00BE3C6C"/>
    <w:rsid w:val="00BE44C6"/>
    <w:rsid w:val="00BE4995"/>
    <w:rsid w:val="00BE4EB3"/>
    <w:rsid w:val="00BE4ECC"/>
    <w:rsid w:val="00BE6114"/>
    <w:rsid w:val="00BE6780"/>
    <w:rsid w:val="00BE7333"/>
    <w:rsid w:val="00BE7363"/>
    <w:rsid w:val="00BE738B"/>
    <w:rsid w:val="00BE78FD"/>
    <w:rsid w:val="00BE7C1F"/>
    <w:rsid w:val="00BE7C66"/>
    <w:rsid w:val="00BE7D5F"/>
    <w:rsid w:val="00BF02AA"/>
    <w:rsid w:val="00BF02D7"/>
    <w:rsid w:val="00BF03D1"/>
    <w:rsid w:val="00BF0686"/>
    <w:rsid w:val="00BF0FD0"/>
    <w:rsid w:val="00BF2462"/>
    <w:rsid w:val="00BF2F53"/>
    <w:rsid w:val="00BF37E1"/>
    <w:rsid w:val="00BF3F0B"/>
    <w:rsid w:val="00BF445A"/>
    <w:rsid w:val="00BF4BC9"/>
    <w:rsid w:val="00BF4F88"/>
    <w:rsid w:val="00BF51C3"/>
    <w:rsid w:val="00BF5F46"/>
    <w:rsid w:val="00BF603A"/>
    <w:rsid w:val="00BF63CA"/>
    <w:rsid w:val="00BF6B93"/>
    <w:rsid w:val="00BF6FD3"/>
    <w:rsid w:val="00BF7090"/>
    <w:rsid w:val="00BF7AD7"/>
    <w:rsid w:val="00BF7B65"/>
    <w:rsid w:val="00BF7F30"/>
    <w:rsid w:val="00C0007C"/>
    <w:rsid w:val="00C0020C"/>
    <w:rsid w:val="00C00ADD"/>
    <w:rsid w:val="00C00BFD"/>
    <w:rsid w:val="00C018B9"/>
    <w:rsid w:val="00C01AD1"/>
    <w:rsid w:val="00C01EEC"/>
    <w:rsid w:val="00C01FE1"/>
    <w:rsid w:val="00C02435"/>
    <w:rsid w:val="00C02C28"/>
    <w:rsid w:val="00C02D01"/>
    <w:rsid w:val="00C02F72"/>
    <w:rsid w:val="00C03BAF"/>
    <w:rsid w:val="00C03E96"/>
    <w:rsid w:val="00C03F3D"/>
    <w:rsid w:val="00C044A4"/>
    <w:rsid w:val="00C0466C"/>
    <w:rsid w:val="00C04874"/>
    <w:rsid w:val="00C04E60"/>
    <w:rsid w:val="00C04F5A"/>
    <w:rsid w:val="00C05969"/>
    <w:rsid w:val="00C05AC1"/>
    <w:rsid w:val="00C07D14"/>
    <w:rsid w:val="00C1001D"/>
    <w:rsid w:val="00C101ED"/>
    <w:rsid w:val="00C10809"/>
    <w:rsid w:val="00C10937"/>
    <w:rsid w:val="00C10A54"/>
    <w:rsid w:val="00C1113B"/>
    <w:rsid w:val="00C11328"/>
    <w:rsid w:val="00C11AA8"/>
    <w:rsid w:val="00C12BD5"/>
    <w:rsid w:val="00C12E31"/>
    <w:rsid w:val="00C13CB3"/>
    <w:rsid w:val="00C13E65"/>
    <w:rsid w:val="00C14044"/>
    <w:rsid w:val="00C142DB"/>
    <w:rsid w:val="00C146C3"/>
    <w:rsid w:val="00C1495E"/>
    <w:rsid w:val="00C14A87"/>
    <w:rsid w:val="00C14ABD"/>
    <w:rsid w:val="00C14D35"/>
    <w:rsid w:val="00C14FA2"/>
    <w:rsid w:val="00C15668"/>
    <w:rsid w:val="00C16BA8"/>
    <w:rsid w:val="00C17231"/>
    <w:rsid w:val="00C172B9"/>
    <w:rsid w:val="00C1751A"/>
    <w:rsid w:val="00C17DE1"/>
    <w:rsid w:val="00C20084"/>
    <w:rsid w:val="00C2064D"/>
    <w:rsid w:val="00C20FFD"/>
    <w:rsid w:val="00C212E4"/>
    <w:rsid w:val="00C214DD"/>
    <w:rsid w:val="00C21546"/>
    <w:rsid w:val="00C2233A"/>
    <w:rsid w:val="00C22D42"/>
    <w:rsid w:val="00C23C0A"/>
    <w:rsid w:val="00C24860"/>
    <w:rsid w:val="00C24B24"/>
    <w:rsid w:val="00C25037"/>
    <w:rsid w:val="00C2522A"/>
    <w:rsid w:val="00C254A2"/>
    <w:rsid w:val="00C25C86"/>
    <w:rsid w:val="00C26937"/>
    <w:rsid w:val="00C26D69"/>
    <w:rsid w:val="00C27A03"/>
    <w:rsid w:val="00C30BB2"/>
    <w:rsid w:val="00C30CF8"/>
    <w:rsid w:val="00C314D9"/>
    <w:rsid w:val="00C31739"/>
    <w:rsid w:val="00C317CE"/>
    <w:rsid w:val="00C320FA"/>
    <w:rsid w:val="00C324EA"/>
    <w:rsid w:val="00C32B38"/>
    <w:rsid w:val="00C32FD6"/>
    <w:rsid w:val="00C33A83"/>
    <w:rsid w:val="00C33ECE"/>
    <w:rsid w:val="00C34016"/>
    <w:rsid w:val="00C343DC"/>
    <w:rsid w:val="00C35D9E"/>
    <w:rsid w:val="00C360B4"/>
    <w:rsid w:val="00C36432"/>
    <w:rsid w:val="00C3659F"/>
    <w:rsid w:val="00C36AF7"/>
    <w:rsid w:val="00C4041E"/>
    <w:rsid w:val="00C4087C"/>
    <w:rsid w:val="00C412B6"/>
    <w:rsid w:val="00C423EA"/>
    <w:rsid w:val="00C42776"/>
    <w:rsid w:val="00C4314F"/>
    <w:rsid w:val="00C43855"/>
    <w:rsid w:val="00C43CAB"/>
    <w:rsid w:val="00C44917"/>
    <w:rsid w:val="00C45683"/>
    <w:rsid w:val="00C456DD"/>
    <w:rsid w:val="00C45B56"/>
    <w:rsid w:val="00C4643E"/>
    <w:rsid w:val="00C46DBA"/>
    <w:rsid w:val="00C46F31"/>
    <w:rsid w:val="00C4788C"/>
    <w:rsid w:val="00C50058"/>
    <w:rsid w:val="00C5081D"/>
    <w:rsid w:val="00C50904"/>
    <w:rsid w:val="00C50D46"/>
    <w:rsid w:val="00C51526"/>
    <w:rsid w:val="00C5186A"/>
    <w:rsid w:val="00C51872"/>
    <w:rsid w:val="00C525E7"/>
    <w:rsid w:val="00C53D41"/>
    <w:rsid w:val="00C54164"/>
    <w:rsid w:val="00C548EB"/>
    <w:rsid w:val="00C54F75"/>
    <w:rsid w:val="00C554FE"/>
    <w:rsid w:val="00C55586"/>
    <w:rsid w:val="00C55C6E"/>
    <w:rsid w:val="00C55F0E"/>
    <w:rsid w:val="00C569AC"/>
    <w:rsid w:val="00C56C24"/>
    <w:rsid w:val="00C60583"/>
    <w:rsid w:val="00C60602"/>
    <w:rsid w:val="00C6179A"/>
    <w:rsid w:val="00C61917"/>
    <w:rsid w:val="00C61BD4"/>
    <w:rsid w:val="00C623BA"/>
    <w:rsid w:val="00C62DAF"/>
    <w:rsid w:val="00C62DCE"/>
    <w:rsid w:val="00C6329D"/>
    <w:rsid w:val="00C6348D"/>
    <w:rsid w:val="00C638B7"/>
    <w:rsid w:val="00C64559"/>
    <w:rsid w:val="00C64581"/>
    <w:rsid w:val="00C64BB9"/>
    <w:rsid w:val="00C650C1"/>
    <w:rsid w:val="00C65327"/>
    <w:rsid w:val="00C6556D"/>
    <w:rsid w:val="00C65774"/>
    <w:rsid w:val="00C65FAB"/>
    <w:rsid w:val="00C703EC"/>
    <w:rsid w:val="00C70606"/>
    <w:rsid w:val="00C708C6"/>
    <w:rsid w:val="00C70C08"/>
    <w:rsid w:val="00C71E88"/>
    <w:rsid w:val="00C72B60"/>
    <w:rsid w:val="00C735E1"/>
    <w:rsid w:val="00C756FC"/>
    <w:rsid w:val="00C75D05"/>
    <w:rsid w:val="00C7643D"/>
    <w:rsid w:val="00C764A5"/>
    <w:rsid w:val="00C7698D"/>
    <w:rsid w:val="00C76BE2"/>
    <w:rsid w:val="00C772BF"/>
    <w:rsid w:val="00C775DA"/>
    <w:rsid w:val="00C776B0"/>
    <w:rsid w:val="00C77D1F"/>
    <w:rsid w:val="00C8014A"/>
    <w:rsid w:val="00C8028A"/>
    <w:rsid w:val="00C8098E"/>
    <w:rsid w:val="00C809CC"/>
    <w:rsid w:val="00C8147B"/>
    <w:rsid w:val="00C814F2"/>
    <w:rsid w:val="00C81B02"/>
    <w:rsid w:val="00C825F4"/>
    <w:rsid w:val="00C82762"/>
    <w:rsid w:val="00C82AF8"/>
    <w:rsid w:val="00C835B6"/>
    <w:rsid w:val="00C83999"/>
    <w:rsid w:val="00C84242"/>
    <w:rsid w:val="00C8459F"/>
    <w:rsid w:val="00C84AE0"/>
    <w:rsid w:val="00C853A6"/>
    <w:rsid w:val="00C85BBA"/>
    <w:rsid w:val="00C85D24"/>
    <w:rsid w:val="00C86502"/>
    <w:rsid w:val="00C865B0"/>
    <w:rsid w:val="00C86703"/>
    <w:rsid w:val="00C86721"/>
    <w:rsid w:val="00C871A4"/>
    <w:rsid w:val="00C87547"/>
    <w:rsid w:val="00C87ED1"/>
    <w:rsid w:val="00C90348"/>
    <w:rsid w:val="00C904B8"/>
    <w:rsid w:val="00C9082B"/>
    <w:rsid w:val="00C90BEE"/>
    <w:rsid w:val="00C91165"/>
    <w:rsid w:val="00C911B0"/>
    <w:rsid w:val="00C9131C"/>
    <w:rsid w:val="00C914F0"/>
    <w:rsid w:val="00C91B5D"/>
    <w:rsid w:val="00C92435"/>
    <w:rsid w:val="00C92DC8"/>
    <w:rsid w:val="00C92F56"/>
    <w:rsid w:val="00C93858"/>
    <w:rsid w:val="00C93C8B"/>
    <w:rsid w:val="00C94B2C"/>
    <w:rsid w:val="00C94DAC"/>
    <w:rsid w:val="00C9507D"/>
    <w:rsid w:val="00C95800"/>
    <w:rsid w:val="00C95A9A"/>
    <w:rsid w:val="00C96594"/>
    <w:rsid w:val="00C96B26"/>
    <w:rsid w:val="00C96FC3"/>
    <w:rsid w:val="00C973B2"/>
    <w:rsid w:val="00C97A93"/>
    <w:rsid w:val="00CA0E6F"/>
    <w:rsid w:val="00CA1135"/>
    <w:rsid w:val="00CA1639"/>
    <w:rsid w:val="00CA16F3"/>
    <w:rsid w:val="00CA202E"/>
    <w:rsid w:val="00CA2FC3"/>
    <w:rsid w:val="00CA49BD"/>
    <w:rsid w:val="00CA4B6E"/>
    <w:rsid w:val="00CA53C4"/>
    <w:rsid w:val="00CA5BE6"/>
    <w:rsid w:val="00CA5E79"/>
    <w:rsid w:val="00CA5F3C"/>
    <w:rsid w:val="00CA6118"/>
    <w:rsid w:val="00CA6BDE"/>
    <w:rsid w:val="00CA6E16"/>
    <w:rsid w:val="00CA7400"/>
    <w:rsid w:val="00CB01E4"/>
    <w:rsid w:val="00CB05D7"/>
    <w:rsid w:val="00CB244C"/>
    <w:rsid w:val="00CB2806"/>
    <w:rsid w:val="00CB29B9"/>
    <w:rsid w:val="00CB40CD"/>
    <w:rsid w:val="00CB40EA"/>
    <w:rsid w:val="00CB4472"/>
    <w:rsid w:val="00CB4740"/>
    <w:rsid w:val="00CB48E4"/>
    <w:rsid w:val="00CB4D51"/>
    <w:rsid w:val="00CB4DCA"/>
    <w:rsid w:val="00CB4F15"/>
    <w:rsid w:val="00CB508F"/>
    <w:rsid w:val="00CB51B9"/>
    <w:rsid w:val="00CB56F0"/>
    <w:rsid w:val="00CB5849"/>
    <w:rsid w:val="00CB5942"/>
    <w:rsid w:val="00CB5A01"/>
    <w:rsid w:val="00CB5DEC"/>
    <w:rsid w:val="00CB6156"/>
    <w:rsid w:val="00CB6DB0"/>
    <w:rsid w:val="00CB7893"/>
    <w:rsid w:val="00CB7969"/>
    <w:rsid w:val="00CB7CFD"/>
    <w:rsid w:val="00CB7EA4"/>
    <w:rsid w:val="00CC0CE0"/>
    <w:rsid w:val="00CC1837"/>
    <w:rsid w:val="00CC24A1"/>
    <w:rsid w:val="00CC298B"/>
    <w:rsid w:val="00CC2E17"/>
    <w:rsid w:val="00CC34DC"/>
    <w:rsid w:val="00CC3693"/>
    <w:rsid w:val="00CC36C0"/>
    <w:rsid w:val="00CC3B6D"/>
    <w:rsid w:val="00CC4801"/>
    <w:rsid w:val="00CC4A2F"/>
    <w:rsid w:val="00CC4EB4"/>
    <w:rsid w:val="00CC5272"/>
    <w:rsid w:val="00CC5E5A"/>
    <w:rsid w:val="00CC6151"/>
    <w:rsid w:val="00CC68C3"/>
    <w:rsid w:val="00CC6B22"/>
    <w:rsid w:val="00CC756A"/>
    <w:rsid w:val="00CC78A8"/>
    <w:rsid w:val="00CC799E"/>
    <w:rsid w:val="00CD05C0"/>
    <w:rsid w:val="00CD104B"/>
    <w:rsid w:val="00CD182F"/>
    <w:rsid w:val="00CD1C34"/>
    <w:rsid w:val="00CD20D8"/>
    <w:rsid w:val="00CD24EB"/>
    <w:rsid w:val="00CD314B"/>
    <w:rsid w:val="00CD366C"/>
    <w:rsid w:val="00CD3A26"/>
    <w:rsid w:val="00CD4529"/>
    <w:rsid w:val="00CD485C"/>
    <w:rsid w:val="00CD5E61"/>
    <w:rsid w:val="00CD643C"/>
    <w:rsid w:val="00CD6484"/>
    <w:rsid w:val="00CD704B"/>
    <w:rsid w:val="00CD77CE"/>
    <w:rsid w:val="00CD7E4B"/>
    <w:rsid w:val="00CE2808"/>
    <w:rsid w:val="00CE38DF"/>
    <w:rsid w:val="00CE432F"/>
    <w:rsid w:val="00CE4624"/>
    <w:rsid w:val="00CE4953"/>
    <w:rsid w:val="00CE61F7"/>
    <w:rsid w:val="00CE739A"/>
    <w:rsid w:val="00CE772F"/>
    <w:rsid w:val="00CE7F48"/>
    <w:rsid w:val="00CF078F"/>
    <w:rsid w:val="00CF0BE8"/>
    <w:rsid w:val="00CF1081"/>
    <w:rsid w:val="00CF114B"/>
    <w:rsid w:val="00CF1CDD"/>
    <w:rsid w:val="00CF252B"/>
    <w:rsid w:val="00CF2712"/>
    <w:rsid w:val="00CF2842"/>
    <w:rsid w:val="00CF3472"/>
    <w:rsid w:val="00CF392C"/>
    <w:rsid w:val="00CF3B9F"/>
    <w:rsid w:val="00CF3E9E"/>
    <w:rsid w:val="00CF497F"/>
    <w:rsid w:val="00CF498F"/>
    <w:rsid w:val="00CF4EB7"/>
    <w:rsid w:val="00CF502F"/>
    <w:rsid w:val="00CF55B8"/>
    <w:rsid w:val="00CF5BFA"/>
    <w:rsid w:val="00CF6513"/>
    <w:rsid w:val="00CF6B76"/>
    <w:rsid w:val="00CF6F87"/>
    <w:rsid w:val="00CF7061"/>
    <w:rsid w:val="00CF72F3"/>
    <w:rsid w:val="00CF7457"/>
    <w:rsid w:val="00CF7915"/>
    <w:rsid w:val="00CF7D55"/>
    <w:rsid w:val="00CF7D90"/>
    <w:rsid w:val="00CF7E88"/>
    <w:rsid w:val="00D00488"/>
    <w:rsid w:val="00D00757"/>
    <w:rsid w:val="00D00B7A"/>
    <w:rsid w:val="00D0198D"/>
    <w:rsid w:val="00D01D5B"/>
    <w:rsid w:val="00D0217D"/>
    <w:rsid w:val="00D024F0"/>
    <w:rsid w:val="00D028A4"/>
    <w:rsid w:val="00D0353A"/>
    <w:rsid w:val="00D03742"/>
    <w:rsid w:val="00D03A17"/>
    <w:rsid w:val="00D03E90"/>
    <w:rsid w:val="00D03EE7"/>
    <w:rsid w:val="00D03EF5"/>
    <w:rsid w:val="00D042EC"/>
    <w:rsid w:val="00D043CF"/>
    <w:rsid w:val="00D050C7"/>
    <w:rsid w:val="00D0570D"/>
    <w:rsid w:val="00D05B45"/>
    <w:rsid w:val="00D07362"/>
    <w:rsid w:val="00D0775D"/>
    <w:rsid w:val="00D079DE"/>
    <w:rsid w:val="00D07B29"/>
    <w:rsid w:val="00D1061D"/>
    <w:rsid w:val="00D108B1"/>
    <w:rsid w:val="00D1187C"/>
    <w:rsid w:val="00D11A9F"/>
    <w:rsid w:val="00D11D1D"/>
    <w:rsid w:val="00D11F93"/>
    <w:rsid w:val="00D1234E"/>
    <w:rsid w:val="00D12A16"/>
    <w:rsid w:val="00D12D59"/>
    <w:rsid w:val="00D13B67"/>
    <w:rsid w:val="00D1439A"/>
    <w:rsid w:val="00D14D3F"/>
    <w:rsid w:val="00D15828"/>
    <w:rsid w:val="00D15B15"/>
    <w:rsid w:val="00D160F3"/>
    <w:rsid w:val="00D16515"/>
    <w:rsid w:val="00D16D36"/>
    <w:rsid w:val="00D172F6"/>
    <w:rsid w:val="00D20893"/>
    <w:rsid w:val="00D20CB4"/>
    <w:rsid w:val="00D21165"/>
    <w:rsid w:val="00D21428"/>
    <w:rsid w:val="00D2192C"/>
    <w:rsid w:val="00D21A18"/>
    <w:rsid w:val="00D21A3D"/>
    <w:rsid w:val="00D22532"/>
    <w:rsid w:val="00D2265E"/>
    <w:rsid w:val="00D22A26"/>
    <w:rsid w:val="00D22C25"/>
    <w:rsid w:val="00D231D2"/>
    <w:rsid w:val="00D238BD"/>
    <w:rsid w:val="00D2393A"/>
    <w:rsid w:val="00D24004"/>
    <w:rsid w:val="00D24C6D"/>
    <w:rsid w:val="00D24FE9"/>
    <w:rsid w:val="00D258CC"/>
    <w:rsid w:val="00D2650C"/>
    <w:rsid w:val="00D26BC5"/>
    <w:rsid w:val="00D27215"/>
    <w:rsid w:val="00D27771"/>
    <w:rsid w:val="00D30B53"/>
    <w:rsid w:val="00D312E4"/>
    <w:rsid w:val="00D315DF"/>
    <w:rsid w:val="00D3205A"/>
    <w:rsid w:val="00D3206F"/>
    <w:rsid w:val="00D3209C"/>
    <w:rsid w:val="00D32178"/>
    <w:rsid w:val="00D32DB4"/>
    <w:rsid w:val="00D33BAE"/>
    <w:rsid w:val="00D35842"/>
    <w:rsid w:val="00D358E6"/>
    <w:rsid w:val="00D36642"/>
    <w:rsid w:val="00D36750"/>
    <w:rsid w:val="00D370F8"/>
    <w:rsid w:val="00D379EC"/>
    <w:rsid w:val="00D402E8"/>
    <w:rsid w:val="00D410FF"/>
    <w:rsid w:val="00D41A0E"/>
    <w:rsid w:val="00D41D71"/>
    <w:rsid w:val="00D4255A"/>
    <w:rsid w:val="00D42C81"/>
    <w:rsid w:val="00D42D1C"/>
    <w:rsid w:val="00D42F6C"/>
    <w:rsid w:val="00D430F1"/>
    <w:rsid w:val="00D444C6"/>
    <w:rsid w:val="00D45662"/>
    <w:rsid w:val="00D45DAE"/>
    <w:rsid w:val="00D4671A"/>
    <w:rsid w:val="00D471C4"/>
    <w:rsid w:val="00D47409"/>
    <w:rsid w:val="00D47426"/>
    <w:rsid w:val="00D47A7C"/>
    <w:rsid w:val="00D47D83"/>
    <w:rsid w:val="00D4E30E"/>
    <w:rsid w:val="00D50A8E"/>
    <w:rsid w:val="00D50F37"/>
    <w:rsid w:val="00D51AD2"/>
    <w:rsid w:val="00D52D04"/>
    <w:rsid w:val="00D547EA"/>
    <w:rsid w:val="00D54EC8"/>
    <w:rsid w:val="00D557F2"/>
    <w:rsid w:val="00D55E2C"/>
    <w:rsid w:val="00D565FE"/>
    <w:rsid w:val="00D56838"/>
    <w:rsid w:val="00D570E7"/>
    <w:rsid w:val="00D60ADA"/>
    <w:rsid w:val="00D60C57"/>
    <w:rsid w:val="00D6120E"/>
    <w:rsid w:val="00D613E5"/>
    <w:rsid w:val="00D61740"/>
    <w:rsid w:val="00D61F3C"/>
    <w:rsid w:val="00D625E5"/>
    <w:rsid w:val="00D643DD"/>
    <w:rsid w:val="00D64482"/>
    <w:rsid w:val="00D65083"/>
    <w:rsid w:val="00D65150"/>
    <w:rsid w:val="00D6518C"/>
    <w:rsid w:val="00D65940"/>
    <w:rsid w:val="00D65AA3"/>
    <w:rsid w:val="00D65CC3"/>
    <w:rsid w:val="00D66AE5"/>
    <w:rsid w:val="00D673F5"/>
    <w:rsid w:val="00D678F6"/>
    <w:rsid w:val="00D67A16"/>
    <w:rsid w:val="00D67D82"/>
    <w:rsid w:val="00D7162F"/>
    <w:rsid w:val="00D71A76"/>
    <w:rsid w:val="00D71C22"/>
    <w:rsid w:val="00D71CC2"/>
    <w:rsid w:val="00D71DA4"/>
    <w:rsid w:val="00D726BE"/>
    <w:rsid w:val="00D72766"/>
    <w:rsid w:val="00D72A98"/>
    <w:rsid w:val="00D72D2F"/>
    <w:rsid w:val="00D7304D"/>
    <w:rsid w:val="00D73F36"/>
    <w:rsid w:val="00D742D7"/>
    <w:rsid w:val="00D74757"/>
    <w:rsid w:val="00D763AE"/>
    <w:rsid w:val="00D764B2"/>
    <w:rsid w:val="00D765A1"/>
    <w:rsid w:val="00D76AC4"/>
    <w:rsid w:val="00D76EEF"/>
    <w:rsid w:val="00D803A0"/>
    <w:rsid w:val="00D81560"/>
    <w:rsid w:val="00D81BB2"/>
    <w:rsid w:val="00D820F5"/>
    <w:rsid w:val="00D82162"/>
    <w:rsid w:val="00D826AE"/>
    <w:rsid w:val="00D82ABF"/>
    <w:rsid w:val="00D83102"/>
    <w:rsid w:val="00D831B7"/>
    <w:rsid w:val="00D834BB"/>
    <w:rsid w:val="00D83F26"/>
    <w:rsid w:val="00D84A4D"/>
    <w:rsid w:val="00D84BDF"/>
    <w:rsid w:val="00D84D53"/>
    <w:rsid w:val="00D850A2"/>
    <w:rsid w:val="00D85B70"/>
    <w:rsid w:val="00D85F1A"/>
    <w:rsid w:val="00D85FE5"/>
    <w:rsid w:val="00D86CAC"/>
    <w:rsid w:val="00D86E63"/>
    <w:rsid w:val="00D90502"/>
    <w:rsid w:val="00D907AA"/>
    <w:rsid w:val="00D917B0"/>
    <w:rsid w:val="00D917BF"/>
    <w:rsid w:val="00D91D5C"/>
    <w:rsid w:val="00D9231C"/>
    <w:rsid w:val="00D9281C"/>
    <w:rsid w:val="00D929E7"/>
    <w:rsid w:val="00D92EF0"/>
    <w:rsid w:val="00D931F1"/>
    <w:rsid w:val="00D9336E"/>
    <w:rsid w:val="00D93FBE"/>
    <w:rsid w:val="00D943FF"/>
    <w:rsid w:val="00D94469"/>
    <w:rsid w:val="00D9510C"/>
    <w:rsid w:val="00D953D4"/>
    <w:rsid w:val="00D954E4"/>
    <w:rsid w:val="00D958F3"/>
    <w:rsid w:val="00D95D97"/>
    <w:rsid w:val="00D967B8"/>
    <w:rsid w:val="00D968CB"/>
    <w:rsid w:val="00D96A38"/>
    <w:rsid w:val="00D96A90"/>
    <w:rsid w:val="00D96E58"/>
    <w:rsid w:val="00D96FB0"/>
    <w:rsid w:val="00D97713"/>
    <w:rsid w:val="00D97EBA"/>
    <w:rsid w:val="00D97F31"/>
    <w:rsid w:val="00D99684"/>
    <w:rsid w:val="00DA115C"/>
    <w:rsid w:val="00DA192F"/>
    <w:rsid w:val="00DA269D"/>
    <w:rsid w:val="00DA3912"/>
    <w:rsid w:val="00DA4070"/>
    <w:rsid w:val="00DA4153"/>
    <w:rsid w:val="00DA4753"/>
    <w:rsid w:val="00DA49F7"/>
    <w:rsid w:val="00DA6181"/>
    <w:rsid w:val="00DA64D0"/>
    <w:rsid w:val="00DA664B"/>
    <w:rsid w:val="00DA682D"/>
    <w:rsid w:val="00DA6C2C"/>
    <w:rsid w:val="00DA6D35"/>
    <w:rsid w:val="00DB0535"/>
    <w:rsid w:val="00DB0698"/>
    <w:rsid w:val="00DB105C"/>
    <w:rsid w:val="00DB1430"/>
    <w:rsid w:val="00DB166A"/>
    <w:rsid w:val="00DB1792"/>
    <w:rsid w:val="00DB1822"/>
    <w:rsid w:val="00DB23C7"/>
    <w:rsid w:val="00DB2438"/>
    <w:rsid w:val="00DB28C3"/>
    <w:rsid w:val="00DB2C1E"/>
    <w:rsid w:val="00DB2EC1"/>
    <w:rsid w:val="00DB32A3"/>
    <w:rsid w:val="00DB32EE"/>
    <w:rsid w:val="00DB3F4C"/>
    <w:rsid w:val="00DB48E5"/>
    <w:rsid w:val="00DB49C6"/>
    <w:rsid w:val="00DB4A3B"/>
    <w:rsid w:val="00DB4D16"/>
    <w:rsid w:val="00DB4DD3"/>
    <w:rsid w:val="00DB5410"/>
    <w:rsid w:val="00DB5DF2"/>
    <w:rsid w:val="00DB5F2A"/>
    <w:rsid w:val="00DB61B6"/>
    <w:rsid w:val="00DB6AEE"/>
    <w:rsid w:val="00DB6CDA"/>
    <w:rsid w:val="00DB7C8F"/>
    <w:rsid w:val="00DB7E8C"/>
    <w:rsid w:val="00DC0118"/>
    <w:rsid w:val="00DC0434"/>
    <w:rsid w:val="00DC08DE"/>
    <w:rsid w:val="00DC0CEE"/>
    <w:rsid w:val="00DC0D32"/>
    <w:rsid w:val="00DC1257"/>
    <w:rsid w:val="00DC19F6"/>
    <w:rsid w:val="00DC1C94"/>
    <w:rsid w:val="00DC2F78"/>
    <w:rsid w:val="00DC38C8"/>
    <w:rsid w:val="00DC4396"/>
    <w:rsid w:val="00DC4BFC"/>
    <w:rsid w:val="00DC55D7"/>
    <w:rsid w:val="00DC5845"/>
    <w:rsid w:val="00DC5E79"/>
    <w:rsid w:val="00DC5F2D"/>
    <w:rsid w:val="00DC615F"/>
    <w:rsid w:val="00DC6330"/>
    <w:rsid w:val="00DC63CA"/>
    <w:rsid w:val="00DC7530"/>
    <w:rsid w:val="00DC7A19"/>
    <w:rsid w:val="00DD06BA"/>
    <w:rsid w:val="00DD087C"/>
    <w:rsid w:val="00DD1528"/>
    <w:rsid w:val="00DD1C66"/>
    <w:rsid w:val="00DD1CBB"/>
    <w:rsid w:val="00DD1CE9"/>
    <w:rsid w:val="00DD2096"/>
    <w:rsid w:val="00DD337F"/>
    <w:rsid w:val="00DD3AC9"/>
    <w:rsid w:val="00DD4128"/>
    <w:rsid w:val="00DD463B"/>
    <w:rsid w:val="00DD4D13"/>
    <w:rsid w:val="00DD5299"/>
    <w:rsid w:val="00DD534F"/>
    <w:rsid w:val="00DD5995"/>
    <w:rsid w:val="00DD5BAD"/>
    <w:rsid w:val="00DD6518"/>
    <w:rsid w:val="00DD70DB"/>
    <w:rsid w:val="00DD71E2"/>
    <w:rsid w:val="00DD7277"/>
    <w:rsid w:val="00DD7374"/>
    <w:rsid w:val="00DE0101"/>
    <w:rsid w:val="00DE0648"/>
    <w:rsid w:val="00DE253D"/>
    <w:rsid w:val="00DE2B4D"/>
    <w:rsid w:val="00DE2F3F"/>
    <w:rsid w:val="00DE30FF"/>
    <w:rsid w:val="00DE3276"/>
    <w:rsid w:val="00DE38C6"/>
    <w:rsid w:val="00DE396B"/>
    <w:rsid w:val="00DE47DE"/>
    <w:rsid w:val="00DE4A0D"/>
    <w:rsid w:val="00DE5C97"/>
    <w:rsid w:val="00DE6B69"/>
    <w:rsid w:val="00DE7B6A"/>
    <w:rsid w:val="00DF0202"/>
    <w:rsid w:val="00DF078D"/>
    <w:rsid w:val="00DF08A2"/>
    <w:rsid w:val="00DF225D"/>
    <w:rsid w:val="00DF2F9E"/>
    <w:rsid w:val="00DF30E0"/>
    <w:rsid w:val="00DF3268"/>
    <w:rsid w:val="00DF3F81"/>
    <w:rsid w:val="00DF4167"/>
    <w:rsid w:val="00DF4564"/>
    <w:rsid w:val="00DF5071"/>
    <w:rsid w:val="00DF53FB"/>
    <w:rsid w:val="00DF5456"/>
    <w:rsid w:val="00DF5D95"/>
    <w:rsid w:val="00DF6A38"/>
    <w:rsid w:val="00DF6CC4"/>
    <w:rsid w:val="00DF6E35"/>
    <w:rsid w:val="00DF6FF7"/>
    <w:rsid w:val="00DF7247"/>
    <w:rsid w:val="00DF7CA5"/>
    <w:rsid w:val="00E002C4"/>
    <w:rsid w:val="00E00465"/>
    <w:rsid w:val="00E00753"/>
    <w:rsid w:val="00E0089F"/>
    <w:rsid w:val="00E012CA"/>
    <w:rsid w:val="00E02468"/>
    <w:rsid w:val="00E0283D"/>
    <w:rsid w:val="00E028AD"/>
    <w:rsid w:val="00E029F7"/>
    <w:rsid w:val="00E033D2"/>
    <w:rsid w:val="00E037C3"/>
    <w:rsid w:val="00E03AF5"/>
    <w:rsid w:val="00E0450F"/>
    <w:rsid w:val="00E0494F"/>
    <w:rsid w:val="00E04FB3"/>
    <w:rsid w:val="00E057D6"/>
    <w:rsid w:val="00E06B17"/>
    <w:rsid w:val="00E06C98"/>
    <w:rsid w:val="00E070D7"/>
    <w:rsid w:val="00E072F4"/>
    <w:rsid w:val="00E07355"/>
    <w:rsid w:val="00E07C82"/>
    <w:rsid w:val="00E07EC2"/>
    <w:rsid w:val="00E108A8"/>
    <w:rsid w:val="00E12A1B"/>
    <w:rsid w:val="00E1422E"/>
    <w:rsid w:val="00E14234"/>
    <w:rsid w:val="00E14276"/>
    <w:rsid w:val="00E14CD5"/>
    <w:rsid w:val="00E14EC3"/>
    <w:rsid w:val="00E15637"/>
    <w:rsid w:val="00E15F9A"/>
    <w:rsid w:val="00E160C6"/>
    <w:rsid w:val="00E163AA"/>
    <w:rsid w:val="00E16457"/>
    <w:rsid w:val="00E1656B"/>
    <w:rsid w:val="00E167AF"/>
    <w:rsid w:val="00E16A3E"/>
    <w:rsid w:val="00E16D78"/>
    <w:rsid w:val="00E174EF"/>
    <w:rsid w:val="00E175A5"/>
    <w:rsid w:val="00E17DAD"/>
    <w:rsid w:val="00E20125"/>
    <w:rsid w:val="00E20382"/>
    <w:rsid w:val="00E20EFA"/>
    <w:rsid w:val="00E211A7"/>
    <w:rsid w:val="00E21354"/>
    <w:rsid w:val="00E2154B"/>
    <w:rsid w:val="00E215EF"/>
    <w:rsid w:val="00E2190D"/>
    <w:rsid w:val="00E22341"/>
    <w:rsid w:val="00E227A0"/>
    <w:rsid w:val="00E23149"/>
    <w:rsid w:val="00E23220"/>
    <w:rsid w:val="00E23EB1"/>
    <w:rsid w:val="00E24059"/>
    <w:rsid w:val="00E2416F"/>
    <w:rsid w:val="00E24CE0"/>
    <w:rsid w:val="00E25635"/>
    <w:rsid w:val="00E25754"/>
    <w:rsid w:val="00E257D4"/>
    <w:rsid w:val="00E257FC"/>
    <w:rsid w:val="00E25845"/>
    <w:rsid w:val="00E25E8E"/>
    <w:rsid w:val="00E262AE"/>
    <w:rsid w:val="00E263D7"/>
    <w:rsid w:val="00E26672"/>
    <w:rsid w:val="00E26BBF"/>
    <w:rsid w:val="00E274F3"/>
    <w:rsid w:val="00E30753"/>
    <w:rsid w:val="00E30F92"/>
    <w:rsid w:val="00E3191A"/>
    <w:rsid w:val="00E31DEF"/>
    <w:rsid w:val="00E32BED"/>
    <w:rsid w:val="00E32EF8"/>
    <w:rsid w:val="00E33A5B"/>
    <w:rsid w:val="00E3487C"/>
    <w:rsid w:val="00E35665"/>
    <w:rsid w:val="00E35D19"/>
    <w:rsid w:val="00E36602"/>
    <w:rsid w:val="00E36E86"/>
    <w:rsid w:val="00E3716C"/>
    <w:rsid w:val="00E373CB"/>
    <w:rsid w:val="00E40068"/>
    <w:rsid w:val="00E409F7"/>
    <w:rsid w:val="00E41013"/>
    <w:rsid w:val="00E4166F"/>
    <w:rsid w:val="00E41C22"/>
    <w:rsid w:val="00E42105"/>
    <w:rsid w:val="00E42C9C"/>
    <w:rsid w:val="00E4323E"/>
    <w:rsid w:val="00E434AD"/>
    <w:rsid w:val="00E43A54"/>
    <w:rsid w:val="00E43BB0"/>
    <w:rsid w:val="00E43EA7"/>
    <w:rsid w:val="00E44616"/>
    <w:rsid w:val="00E44B0D"/>
    <w:rsid w:val="00E458F4"/>
    <w:rsid w:val="00E45D10"/>
    <w:rsid w:val="00E45E24"/>
    <w:rsid w:val="00E46A32"/>
    <w:rsid w:val="00E470C9"/>
    <w:rsid w:val="00E472FA"/>
    <w:rsid w:val="00E5052B"/>
    <w:rsid w:val="00E50631"/>
    <w:rsid w:val="00E50A5F"/>
    <w:rsid w:val="00E50F4F"/>
    <w:rsid w:val="00E51B3C"/>
    <w:rsid w:val="00E51C15"/>
    <w:rsid w:val="00E51EBF"/>
    <w:rsid w:val="00E51FA8"/>
    <w:rsid w:val="00E520B2"/>
    <w:rsid w:val="00E524C2"/>
    <w:rsid w:val="00E52C31"/>
    <w:rsid w:val="00E533BC"/>
    <w:rsid w:val="00E533DF"/>
    <w:rsid w:val="00E538B9"/>
    <w:rsid w:val="00E54848"/>
    <w:rsid w:val="00E54D4A"/>
    <w:rsid w:val="00E5591C"/>
    <w:rsid w:val="00E56279"/>
    <w:rsid w:val="00E572C3"/>
    <w:rsid w:val="00E5778A"/>
    <w:rsid w:val="00E57AB4"/>
    <w:rsid w:val="00E617CD"/>
    <w:rsid w:val="00E61EBF"/>
    <w:rsid w:val="00E628D7"/>
    <w:rsid w:val="00E634A8"/>
    <w:rsid w:val="00E63790"/>
    <w:rsid w:val="00E64291"/>
    <w:rsid w:val="00E64F05"/>
    <w:rsid w:val="00E6512F"/>
    <w:rsid w:val="00E65500"/>
    <w:rsid w:val="00E65770"/>
    <w:rsid w:val="00E65989"/>
    <w:rsid w:val="00E66593"/>
    <w:rsid w:val="00E66A2F"/>
    <w:rsid w:val="00E66F3E"/>
    <w:rsid w:val="00E67044"/>
    <w:rsid w:val="00E67104"/>
    <w:rsid w:val="00E67509"/>
    <w:rsid w:val="00E6768F"/>
    <w:rsid w:val="00E677B6"/>
    <w:rsid w:val="00E71618"/>
    <w:rsid w:val="00E7177F"/>
    <w:rsid w:val="00E71DB3"/>
    <w:rsid w:val="00E72620"/>
    <w:rsid w:val="00E72665"/>
    <w:rsid w:val="00E72DBC"/>
    <w:rsid w:val="00E73565"/>
    <w:rsid w:val="00E737B6"/>
    <w:rsid w:val="00E73EB3"/>
    <w:rsid w:val="00E73EFE"/>
    <w:rsid w:val="00E745D0"/>
    <w:rsid w:val="00E7532F"/>
    <w:rsid w:val="00E75C05"/>
    <w:rsid w:val="00E75D3C"/>
    <w:rsid w:val="00E761D7"/>
    <w:rsid w:val="00E7639A"/>
    <w:rsid w:val="00E768B2"/>
    <w:rsid w:val="00E77835"/>
    <w:rsid w:val="00E77F0D"/>
    <w:rsid w:val="00E80138"/>
    <w:rsid w:val="00E8034B"/>
    <w:rsid w:val="00E8040B"/>
    <w:rsid w:val="00E80F99"/>
    <w:rsid w:val="00E81188"/>
    <w:rsid w:val="00E8149F"/>
    <w:rsid w:val="00E8176C"/>
    <w:rsid w:val="00E8191B"/>
    <w:rsid w:val="00E82197"/>
    <w:rsid w:val="00E82653"/>
    <w:rsid w:val="00E82A85"/>
    <w:rsid w:val="00E82C94"/>
    <w:rsid w:val="00E8362A"/>
    <w:rsid w:val="00E8384A"/>
    <w:rsid w:val="00E83B45"/>
    <w:rsid w:val="00E8457F"/>
    <w:rsid w:val="00E84587"/>
    <w:rsid w:val="00E846E0"/>
    <w:rsid w:val="00E84BA8"/>
    <w:rsid w:val="00E852AA"/>
    <w:rsid w:val="00E85D22"/>
    <w:rsid w:val="00E85DAD"/>
    <w:rsid w:val="00E86171"/>
    <w:rsid w:val="00E86856"/>
    <w:rsid w:val="00E908DF"/>
    <w:rsid w:val="00E90F39"/>
    <w:rsid w:val="00E914E4"/>
    <w:rsid w:val="00E9235F"/>
    <w:rsid w:val="00E92B7B"/>
    <w:rsid w:val="00E9326D"/>
    <w:rsid w:val="00E9421C"/>
    <w:rsid w:val="00E94475"/>
    <w:rsid w:val="00E949A1"/>
    <w:rsid w:val="00E94AC9"/>
    <w:rsid w:val="00E9600A"/>
    <w:rsid w:val="00E97B62"/>
    <w:rsid w:val="00EA0444"/>
    <w:rsid w:val="00EA0CAF"/>
    <w:rsid w:val="00EA15BC"/>
    <w:rsid w:val="00EA19D8"/>
    <w:rsid w:val="00EA1A22"/>
    <w:rsid w:val="00EA1D5D"/>
    <w:rsid w:val="00EA21B4"/>
    <w:rsid w:val="00EA26DB"/>
    <w:rsid w:val="00EA2F5D"/>
    <w:rsid w:val="00EA32C6"/>
    <w:rsid w:val="00EA3698"/>
    <w:rsid w:val="00EA385A"/>
    <w:rsid w:val="00EA38E0"/>
    <w:rsid w:val="00EA3BF3"/>
    <w:rsid w:val="00EA3DA1"/>
    <w:rsid w:val="00EA3EAB"/>
    <w:rsid w:val="00EA484A"/>
    <w:rsid w:val="00EA4D30"/>
    <w:rsid w:val="00EA5368"/>
    <w:rsid w:val="00EA5FEE"/>
    <w:rsid w:val="00EA6D09"/>
    <w:rsid w:val="00EA6E3B"/>
    <w:rsid w:val="00EA7383"/>
    <w:rsid w:val="00EA7430"/>
    <w:rsid w:val="00EB02AD"/>
    <w:rsid w:val="00EB08FE"/>
    <w:rsid w:val="00EB1434"/>
    <w:rsid w:val="00EB1919"/>
    <w:rsid w:val="00EB1B4E"/>
    <w:rsid w:val="00EB1E3B"/>
    <w:rsid w:val="00EB1F0B"/>
    <w:rsid w:val="00EB258E"/>
    <w:rsid w:val="00EB26D2"/>
    <w:rsid w:val="00EB2850"/>
    <w:rsid w:val="00EB2B3C"/>
    <w:rsid w:val="00EB33B5"/>
    <w:rsid w:val="00EB342B"/>
    <w:rsid w:val="00EB3C86"/>
    <w:rsid w:val="00EB4837"/>
    <w:rsid w:val="00EB4D00"/>
    <w:rsid w:val="00EB4FB4"/>
    <w:rsid w:val="00EB522F"/>
    <w:rsid w:val="00EB65F3"/>
    <w:rsid w:val="00EB6903"/>
    <w:rsid w:val="00EB6936"/>
    <w:rsid w:val="00EB6D3E"/>
    <w:rsid w:val="00EB7166"/>
    <w:rsid w:val="00EB764F"/>
    <w:rsid w:val="00EC0B56"/>
    <w:rsid w:val="00EC2099"/>
    <w:rsid w:val="00EC2423"/>
    <w:rsid w:val="00EC287C"/>
    <w:rsid w:val="00EC2CFB"/>
    <w:rsid w:val="00EC30AA"/>
    <w:rsid w:val="00EC3663"/>
    <w:rsid w:val="00EC53E4"/>
    <w:rsid w:val="00EC5A35"/>
    <w:rsid w:val="00EC5CA6"/>
    <w:rsid w:val="00EC5DCB"/>
    <w:rsid w:val="00EC5DF2"/>
    <w:rsid w:val="00EC604A"/>
    <w:rsid w:val="00EC67AC"/>
    <w:rsid w:val="00EC6AF7"/>
    <w:rsid w:val="00EC6BEF"/>
    <w:rsid w:val="00EC6C67"/>
    <w:rsid w:val="00EC6FF0"/>
    <w:rsid w:val="00EC702C"/>
    <w:rsid w:val="00EC7320"/>
    <w:rsid w:val="00EC7D00"/>
    <w:rsid w:val="00ED02F9"/>
    <w:rsid w:val="00ED04C5"/>
    <w:rsid w:val="00ED0BD1"/>
    <w:rsid w:val="00ED0C9B"/>
    <w:rsid w:val="00ED101C"/>
    <w:rsid w:val="00ED113B"/>
    <w:rsid w:val="00ED1813"/>
    <w:rsid w:val="00ED1BC3"/>
    <w:rsid w:val="00ED1C41"/>
    <w:rsid w:val="00ED3782"/>
    <w:rsid w:val="00ED3F11"/>
    <w:rsid w:val="00ED431B"/>
    <w:rsid w:val="00ED47AF"/>
    <w:rsid w:val="00ED4CC3"/>
    <w:rsid w:val="00ED5F6E"/>
    <w:rsid w:val="00ED6433"/>
    <w:rsid w:val="00ED6BEC"/>
    <w:rsid w:val="00ED7549"/>
    <w:rsid w:val="00ED7C68"/>
    <w:rsid w:val="00ED7F63"/>
    <w:rsid w:val="00EE0819"/>
    <w:rsid w:val="00EE08A4"/>
    <w:rsid w:val="00EE0AA0"/>
    <w:rsid w:val="00EE15BA"/>
    <w:rsid w:val="00EE1905"/>
    <w:rsid w:val="00EE25CE"/>
    <w:rsid w:val="00EE2D67"/>
    <w:rsid w:val="00EE378B"/>
    <w:rsid w:val="00EE4893"/>
    <w:rsid w:val="00EE4ABC"/>
    <w:rsid w:val="00EE55F6"/>
    <w:rsid w:val="00EE5841"/>
    <w:rsid w:val="00EE5B1C"/>
    <w:rsid w:val="00EE6517"/>
    <w:rsid w:val="00EE65E6"/>
    <w:rsid w:val="00EE670F"/>
    <w:rsid w:val="00EE6A06"/>
    <w:rsid w:val="00EE6EE2"/>
    <w:rsid w:val="00EE791E"/>
    <w:rsid w:val="00EE7AC1"/>
    <w:rsid w:val="00EE7B42"/>
    <w:rsid w:val="00EE7F28"/>
    <w:rsid w:val="00EF0C86"/>
    <w:rsid w:val="00EF110C"/>
    <w:rsid w:val="00EF1257"/>
    <w:rsid w:val="00EF125E"/>
    <w:rsid w:val="00EF16F0"/>
    <w:rsid w:val="00EF1997"/>
    <w:rsid w:val="00EF2AFD"/>
    <w:rsid w:val="00EF2B70"/>
    <w:rsid w:val="00EF3040"/>
    <w:rsid w:val="00EF35A4"/>
    <w:rsid w:val="00EF398D"/>
    <w:rsid w:val="00EF3FAD"/>
    <w:rsid w:val="00EF4D93"/>
    <w:rsid w:val="00EF52E3"/>
    <w:rsid w:val="00EF5939"/>
    <w:rsid w:val="00EF6106"/>
    <w:rsid w:val="00EF6DDA"/>
    <w:rsid w:val="00EF7A88"/>
    <w:rsid w:val="00EF7AB3"/>
    <w:rsid w:val="00F01489"/>
    <w:rsid w:val="00F01C01"/>
    <w:rsid w:val="00F01F4C"/>
    <w:rsid w:val="00F042C9"/>
    <w:rsid w:val="00F043B4"/>
    <w:rsid w:val="00F0453D"/>
    <w:rsid w:val="00F04757"/>
    <w:rsid w:val="00F053D8"/>
    <w:rsid w:val="00F0744E"/>
    <w:rsid w:val="00F0764B"/>
    <w:rsid w:val="00F10301"/>
    <w:rsid w:val="00F10989"/>
    <w:rsid w:val="00F10E1E"/>
    <w:rsid w:val="00F1150B"/>
    <w:rsid w:val="00F1156A"/>
    <w:rsid w:val="00F135F5"/>
    <w:rsid w:val="00F136BA"/>
    <w:rsid w:val="00F139AE"/>
    <w:rsid w:val="00F149EA"/>
    <w:rsid w:val="00F15139"/>
    <w:rsid w:val="00F1589C"/>
    <w:rsid w:val="00F1617B"/>
    <w:rsid w:val="00F1657D"/>
    <w:rsid w:val="00F167F5"/>
    <w:rsid w:val="00F16923"/>
    <w:rsid w:val="00F16BD1"/>
    <w:rsid w:val="00F1705B"/>
    <w:rsid w:val="00F17D27"/>
    <w:rsid w:val="00F20189"/>
    <w:rsid w:val="00F2189B"/>
    <w:rsid w:val="00F21CB6"/>
    <w:rsid w:val="00F21CD2"/>
    <w:rsid w:val="00F22730"/>
    <w:rsid w:val="00F22823"/>
    <w:rsid w:val="00F22A5E"/>
    <w:rsid w:val="00F22BF2"/>
    <w:rsid w:val="00F239A5"/>
    <w:rsid w:val="00F24031"/>
    <w:rsid w:val="00F24662"/>
    <w:rsid w:val="00F25BD3"/>
    <w:rsid w:val="00F25C14"/>
    <w:rsid w:val="00F260D1"/>
    <w:rsid w:val="00F269DA"/>
    <w:rsid w:val="00F27079"/>
    <w:rsid w:val="00F278CA"/>
    <w:rsid w:val="00F27E99"/>
    <w:rsid w:val="00F27FAC"/>
    <w:rsid w:val="00F30AE2"/>
    <w:rsid w:val="00F30FE3"/>
    <w:rsid w:val="00F314A7"/>
    <w:rsid w:val="00F31671"/>
    <w:rsid w:val="00F3167D"/>
    <w:rsid w:val="00F31C28"/>
    <w:rsid w:val="00F32373"/>
    <w:rsid w:val="00F326EF"/>
    <w:rsid w:val="00F32B59"/>
    <w:rsid w:val="00F32BFB"/>
    <w:rsid w:val="00F34217"/>
    <w:rsid w:val="00F346F4"/>
    <w:rsid w:val="00F34A41"/>
    <w:rsid w:val="00F34B8A"/>
    <w:rsid w:val="00F35D54"/>
    <w:rsid w:val="00F35F28"/>
    <w:rsid w:val="00F36031"/>
    <w:rsid w:val="00F36189"/>
    <w:rsid w:val="00F36199"/>
    <w:rsid w:val="00F363BC"/>
    <w:rsid w:val="00F36528"/>
    <w:rsid w:val="00F36B8B"/>
    <w:rsid w:val="00F36CA4"/>
    <w:rsid w:val="00F36EAD"/>
    <w:rsid w:val="00F37075"/>
    <w:rsid w:val="00F37903"/>
    <w:rsid w:val="00F40025"/>
    <w:rsid w:val="00F40048"/>
    <w:rsid w:val="00F400D1"/>
    <w:rsid w:val="00F405FE"/>
    <w:rsid w:val="00F41358"/>
    <w:rsid w:val="00F416C3"/>
    <w:rsid w:val="00F42641"/>
    <w:rsid w:val="00F42876"/>
    <w:rsid w:val="00F42DD3"/>
    <w:rsid w:val="00F42DDE"/>
    <w:rsid w:val="00F42FB1"/>
    <w:rsid w:val="00F434E3"/>
    <w:rsid w:val="00F438AA"/>
    <w:rsid w:val="00F44595"/>
    <w:rsid w:val="00F44674"/>
    <w:rsid w:val="00F44CBF"/>
    <w:rsid w:val="00F44E6A"/>
    <w:rsid w:val="00F4569A"/>
    <w:rsid w:val="00F4591C"/>
    <w:rsid w:val="00F45BAE"/>
    <w:rsid w:val="00F46223"/>
    <w:rsid w:val="00F46430"/>
    <w:rsid w:val="00F46880"/>
    <w:rsid w:val="00F46BB6"/>
    <w:rsid w:val="00F46D48"/>
    <w:rsid w:val="00F474D5"/>
    <w:rsid w:val="00F47795"/>
    <w:rsid w:val="00F5017F"/>
    <w:rsid w:val="00F50281"/>
    <w:rsid w:val="00F5070C"/>
    <w:rsid w:val="00F5086C"/>
    <w:rsid w:val="00F50B30"/>
    <w:rsid w:val="00F50E14"/>
    <w:rsid w:val="00F51016"/>
    <w:rsid w:val="00F51308"/>
    <w:rsid w:val="00F5197E"/>
    <w:rsid w:val="00F52449"/>
    <w:rsid w:val="00F52698"/>
    <w:rsid w:val="00F52C91"/>
    <w:rsid w:val="00F52FF5"/>
    <w:rsid w:val="00F53242"/>
    <w:rsid w:val="00F5373D"/>
    <w:rsid w:val="00F53C6B"/>
    <w:rsid w:val="00F544E1"/>
    <w:rsid w:val="00F54A7E"/>
    <w:rsid w:val="00F54D27"/>
    <w:rsid w:val="00F54D6C"/>
    <w:rsid w:val="00F54E1C"/>
    <w:rsid w:val="00F54E77"/>
    <w:rsid w:val="00F55669"/>
    <w:rsid w:val="00F55747"/>
    <w:rsid w:val="00F55B60"/>
    <w:rsid w:val="00F55E68"/>
    <w:rsid w:val="00F55F70"/>
    <w:rsid w:val="00F562C6"/>
    <w:rsid w:val="00F56B6F"/>
    <w:rsid w:val="00F5719E"/>
    <w:rsid w:val="00F57747"/>
    <w:rsid w:val="00F61DB6"/>
    <w:rsid w:val="00F634FD"/>
    <w:rsid w:val="00F63ABA"/>
    <w:rsid w:val="00F63E80"/>
    <w:rsid w:val="00F641EF"/>
    <w:rsid w:val="00F646E8"/>
    <w:rsid w:val="00F64A93"/>
    <w:rsid w:val="00F64A9D"/>
    <w:rsid w:val="00F64FC2"/>
    <w:rsid w:val="00F650BE"/>
    <w:rsid w:val="00F653B6"/>
    <w:rsid w:val="00F654B4"/>
    <w:rsid w:val="00F65E79"/>
    <w:rsid w:val="00F65E8A"/>
    <w:rsid w:val="00F66193"/>
    <w:rsid w:val="00F66571"/>
    <w:rsid w:val="00F668A5"/>
    <w:rsid w:val="00F6782E"/>
    <w:rsid w:val="00F67872"/>
    <w:rsid w:val="00F70A20"/>
    <w:rsid w:val="00F70A9E"/>
    <w:rsid w:val="00F70AC4"/>
    <w:rsid w:val="00F71EFC"/>
    <w:rsid w:val="00F72757"/>
    <w:rsid w:val="00F728F8"/>
    <w:rsid w:val="00F72BA4"/>
    <w:rsid w:val="00F72BFB"/>
    <w:rsid w:val="00F7390B"/>
    <w:rsid w:val="00F74C9D"/>
    <w:rsid w:val="00F750C3"/>
    <w:rsid w:val="00F7527A"/>
    <w:rsid w:val="00F759A5"/>
    <w:rsid w:val="00F768B2"/>
    <w:rsid w:val="00F76976"/>
    <w:rsid w:val="00F76F7E"/>
    <w:rsid w:val="00F772BE"/>
    <w:rsid w:val="00F777BC"/>
    <w:rsid w:val="00F779AA"/>
    <w:rsid w:val="00F802B7"/>
    <w:rsid w:val="00F80E8D"/>
    <w:rsid w:val="00F80F1E"/>
    <w:rsid w:val="00F81235"/>
    <w:rsid w:val="00F81AC1"/>
    <w:rsid w:val="00F81BF4"/>
    <w:rsid w:val="00F81D75"/>
    <w:rsid w:val="00F821AB"/>
    <w:rsid w:val="00F8297C"/>
    <w:rsid w:val="00F82F1F"/>
    <w:rsid w:val="00F83396"/>
    <w:rsid w:val="00F835C8"/>
    <w:rsid w:val="00F83608"/>
    <w:rsid w:val="00F84151"/>
    <w:rsid w:val="00F841FA"/>
    <w:rsid w:val="00F842DE"/>
    <w:rsid w:val="00F85AD4"/>
    <w:rsid w:val="00F865EC"/>
    <w:rsid w:val="00F87231"/>
    <w:rsid w:val="00F87921"/>
    <w:rsid w:val="00F9001F"/>
    <w:rsid w:val="00F900E0"/>
    <w:rsid w:val="00F901AC"/>
    <w:rsid w:val="00F902D3"/>
    <w:rsid w:val="00F90B47"/>
    <w:rsid w:val="00F90C00"/>
    <w:rsid w:val="00F91652"/>
    <w:rsid w:val="00F91BC4"/>
    <w:rsid w:val="00F91E10"/>
    <w:rsid w:val="00F92071"/>
    <w:rsid w:val="00F92A42"/>
    <w:rsid w:val="00F93507"/>
    <w:rsid w:val="00F93CE6"/>
    <w:rsid w:val="00F94061"/>
    <w:rsid w:val="00F94458"/>
    <w:rsid w:val="00F946D7"/>
    <w:rsid w:val="00F94A30"/>
    <w:rsid w:val="00F959CD"/>
    <w:rsid w:val="00F963B5"/>
    <w:rsid w:val="00F964EA"/>
    <w:rsid w:val="00F96924"/>
    <w:rsid w:val="00F96C7F"/>
    <w:rsid w:val="00F97244"/>
    <w:rsid w:val="00F97D32"/>
    <w:rsid w:val="00FA0C8F"/>
    <w:rsid w:val="00FA0D2F"/>
    <w:rsid w:val="00FA166C"/>
    <w:rsid w:val="00FA265F"/>
    <w:rsid w:val="00FA2D1E"/>
    <w:rsid w:val="00FA3387"/>
    <w:rsid w:val="00FA3416"/>
    <w:rsid w:val="00FA3BE2"/>
    <w:rsid w:val="00FA3CFD"/>
    <w:rsid w:val="00FA4437"/>
    <w:rsid w:val="00FA44BF"/>
    <w:rsid w:val="00FA4F62"/>
    <w:rsid w:val="00FA4FE5"/>
    <w:rsid w:val="00FA58F5"/>
    <w:rsid w:val="00FA644C"/>
    <w:rsid w:val="00FA6555"/>
    <w:rsid w:val="00FA75E9"/>
    <w:rsid w:val="00FA793B"/>
    <w:rsid w:val="00FA7F84"/>
    <w:rsid w:val="00FB0E3F"/>
    <w:rsid w:val="00FB10B4"/>
    <w:rsid w:val="00FB13A7"/>
    <w:rsid w:val="00FB13CF"/>
    <w:rsid w:val="00FB2253"/>
    <w:rsid w:val="00FB281F"/>
    <w:rsid w:val="00FB37A1"/>
    <w:rsid w:val="00FB3ACA"/>
    <w:rsid w:val="00FB4379"/>
    <w:rsid w:val="00FB59B8"/>
    <w:rsid w:val="00FB5EDB"/>
    <w:rsid w:val="00FB6174"/>
    <w:rsid w:val="00FB6B34"/>
    <w:rsid w:val="00FB74B9"/>
    <w:rsid w:val="00FB7566"/>
    <w:rsid w:val="00FB7F9E"/>
    <w:rsid w:val="00FC0A40"/>
    <w:rsid w:val="00FC0A60"/>
    <w:rsid w:val="00FC11BF"/>
    <w:rsid w:val="00FC11E8"/>
    <w:rsid w:val="00FC291D"/>
    <w:rsid w:val="00FC2BAD"/>
    <w:rsid w:val="00FC2F3A"/>
    <w:rsid w:val="00FC32D9"/>
    <w:rsid w:val="00FC386A"/>
    <w:rsid w:val="00FC47D0"/>
    <w:rsid w:val="00FC4905"/>
    <w:rsid w:val="00FC4B43"/>
    <w:rsid w:val="00FC5380"/>
    <w:rsid w:val="00FC6B88"/>
    <w:rsid w:val="00FC779B"/>
    <w:rsid w:val="00FC79A7"/>
    <w:rsid w:val="00FD0130"/>
    <w:rsid w:val="00FD0230"/>
    <w:rsid w:val="00FD038E"/>
    <w:rsid w:val="00FD079B"/>
    <w:rsid w:val="00FD093B"/>
    <w:rsid w:val="00FD15DF"/>
    <w:rsid w:val="00FD17A8"/>
    <w:rsid w:val="00FD1FF6"/>
    <w:rsid w:val="00FD2142"/>
    <w:rsid w:val="00FD2230"/>
    <w:rsid w:val="00FD28F3"/>
    <w:rsid w:val="00FD2DE0"/>
    <w:rsid w:val="00FD33CC"/>
    <w:rsid w:val="00FD3778"/>
    <w:rsid w:val="00FD3B45"/>
    <w:rsid w:val="00FD4D78"/>
    <w:rsid w:val="00FD61C6"/>
    <w:rsid w:val="00FD6940"/>
    <w:rsid w:val="00FD7AE8"/>
    <w:rsid w:val="00FD7FF5"/>
    <w:rsid w:val="00FE062B"/>
    <w:rsid w:val="00FE0CA9"/>
    <w:rsid w:val="00FE0CAF"/>
    <w:rsid w:val="00FE1583"/>
    <w:rsid w:val="00FE1CE5"/>
    <w:rsid w:val="00FE25D3"/>
    <w:rsid w:val="00FE29F2"/>
    <w:rsid w:val="00FE35E4"/>
    <w:rsid w:val="00FE38A6"/>
    <w:rsid w:val="00FE42F4"/>
    <w:rsid w:val="00FE43F6"/>
    <w:rsid w:val="00FE4D1B"/>
    <w:rsid w:val="00FE5A1F"/>
    <w:rsid w:val="00FE6BAA"/>
    <w:rsid w:val="00FE6F5C"/>
    <w:rsid w:val="00FE7180"/>
    <w:rsid w:val="00FE780F"/>
    <w:rsid w:val="00FF0CA9"/>
    <w:rsid w:val="00FF1133"/>
    <w:rsid w:val="00FF1329"/>
    <w:rsid w:val="00FF19CF"/>
    <w:rsid w:val="00FF1CD0"/>
    <w:rsid w:val="00FF1E1D"/>
    <w:rsid w:val="00FF26D8"/>
    <w:rsid w:val="00FF2914"/>
    <w:rsid w:val="00FF300A"/>
    <w:rsid w:val="00FF314D"/>
    <w:rsid w:val="00FF3383"/>
    <w:rsid w:val="00FF3FDF"/>
    <w:rsid w:val="00FF4379"/>
    <w:rsid w:val="00FF4A1E"/>
    <w:rsid w:val="00FF53A4"/>
    <w:rsid w:val="00FF5746"/>
    <w:rsid w:val="00FF64EF"/>
    <w:rsid w:val="00FF6B45"/>
    <w:rsid w:val="00FF6CB8"/>
    <w:rsid w:val="00FF787D"/>
    <w:rsid w:val="00FF7AEC"/>
    <w:rsid w:val="0118DB9C"/>
    <w:rsid w:val="011F1C3F"/>
    <w:rsid w:val="01243560"/>
    <w:rsid w:val="0125A399"/>
    <w:rsid w:val="0129D5A4"/>
    <w:rsid w:val="01379650"/>
    <w:rsid w:val="013C6F7E"/>
    <w:rsid w:val="014D92A8"/>
    <w:rsid w:val="015A2D34"/>
    <w:rsid w:val="0162FCEF"/>
    <w:rsid w:val="0167EBEA"/>
    <w:rsid w:val="01695365"/>
    <w:rsid w:val="017CFC22"/>
    <w:rsid w:val="018152EC"/>
    <w:rsid w:val="0184C6C7"/>
    <w:rsid w:val="018AE3DD"/>
    <w:rsid w:val="0197D3BA"/>
    <w:rsid w:val="019A6936"/>
    <w:rsid w:val="01A2392A"/>
    <w:rsid w:val="01B60EC5"/>
    <w:rsid w:val="01B8AA9F"/>
    <w:rsid w:val="01B8ABA5"/>
    <w:rsid w:val="01B91163"/>
    <w:rsid w:val="01C32B43"/>
    <w:rsid w:val="01C3A8BC"/>
    <w:rsid w:val="01CD86F7"/>
    <w:rsid w:val="01D5A508"/>
    <w:rsid w:val="01E13C4E"/>
    <w:rsid w:val="01E48AAC"/>
    <w:rsid w:val="01E65C84"/>
    <w:rsid w:val="01FE65B9"/>
    <w:rsid w:val="0204CE8F"/>
    <w:rsid w:val="0218E1CD"/>
    <w:rsid w:val="021E4336"/>
    <w:rsid w:val="02250371"/>
    <w:rsid w:val="022A6C05"/>
    <w:rsid w:val="023A9B3E"/>
    <w:rsid w:val="023C012C"/>
    <w:rsid w:val="02434155"/>
    <w:rsid w:val="024ED651"/>
    <w:rsid w:val="02596A34"/>
    <w:rsid w:val="025CB41F"/>
    <w:rsid w:val="025EF400"/>
    <w:rsid w:val="02608BE9"/>
    <w:rsid w:val="02635F52"/>
    <w:rsid w:val="0265F57E"/>
    <w:rsid w:val="02798D4B"/>
    <w:rsid w:val="027E8788"/>
    <w:rsid w:val="028980E1"/>
    <w:rsid w:val="0291404D"/>
    <w:rsid w:val="029407E8"/>
    <w:rsid w:val="029CC777"/>
    <w:rsid w:val="02A39B50"/>
    <w:rsid w:val="02A41CE9"/>
    <w:rsid w:val="02A4D06C"/>
    <w:rsid w:val="02AB07A8"/>
    <w:rsid w:val="02C51508"/>
    <w:rsid w:val="02D29C34"/>
    <w:rsid w:val="02EBB0F6"/>
    <w:rsid w:val="02EBFD30"/>
    <w:rsid w:val="02F1B759"/>
    <w:rsid w:val="030C837C"/>
    <w:rsid w:val="03101DC2"/>
    <w:rsid w:val="03142CF7"/>
    <w:rsid w:val="0316B845"/>
    <w:rsid w:val="031FF00A"/>
    <w:rsid w:val="03220627"/>
    <w:rsid w:val="03227CC0"/>
    <w:rsid w:val="032B6265"/>
    <w:rsid w:val="032C1432"/>
    <w:rsid w:val="033F0BB7"/>
    <w:rsid w:val="0344EEBE"/>
    <w:rsid w:val="0358FF41"/>
    <w:rsid w:val="035CDB98"/>
    <w:rsid w:val="0379D628"/>
    <w:rsid w:val="03920ED7"/>
    <w:rsid w:val="03A0DD37"/>
    <w:rsid w:val="03BC6220"/>
    <w:rsid w:val="03BCB954"/>
    <w:rsid w:val="03C0C47B"/>
    <w:rsid w:val="03D1C7C9"/>
    <w:rsid w:val="03D1D018"/>
    <w:rsid w:val="03D549F5"/>
    <w:rsid w:val="03E85391"/>
    <w:rsid w:val="03EA0761"/>
    <w:rsid w:val="03FAF3D1"/>
    <w:rsid w:val="0404B301"/>
    <w:rsid w:val="0424CBDE"/>
    <w:rsid w:val="043B26D1"/>
    <w:rsid w:val="04417F50"/>
    <w:rsid w:val="0451EC13"/>
    <w:rsid w:val="0466D895"/>
    <w:rsid w:val="04688637"/>
    <w:rsid w:val="04709B4E"/>
    <w:rsid w:val="04862071"/>
    <w:rsid w:val="0489BAAB"/>
    <w:rsid w:val="04A931BE"/>
    <w:rsid w:val="04AEF3EC"/>
    <w:rsid w:val="04C96185"/>
    <w:rsid w:val="04D1D943"/>
    <w:rsid w:val="04DDF781"/>
    <w:rsid w:val="04DE22F3"/>
    <w:rsid w:val="04EFC762"/>
    <w:rsid w:val="04F3C09D"/>
    <w:rsid w:val="04F7586D"/>
    <w:rsid w:val="04FC00C2"/>
    <w:rsid w:val="0517A5DE"/>
    <w:rsid w:val="05273033"/>
    <w:rsid w:val="0529EFAF"/>
    <w:rsid w:val="052B0A84"/>
    <w:rsid w:val="052BD2A1"/>
    <w:rsid w:val="053AAEE2"/>
    <w:rsid w:val="053D8148"/>
    <w:rsid w:val="05434265"/>
    <w:rsid w:val="0543B9B2"/>
    <w:rsid w:val="054799F1"/>
    <w:rsid w:val="054C4549"/>
    <w:rsid w:val="055225A8"/>
    <w:rsid w:val="055FDD6E"/>
    <w:rsid w:val="056FD260"/>
    <w:rsid w:val="05766094"/>
    <w:rsid w:val="058E5EF9"/>
    <w:rsid w:val="05B1E519"/>
    <w:rsid w:val="05B553FF"/>
    <w:rsid w:val="05B6F310"/>
    <w:rsid w:val="05CA0FEC"/>
    <w:rsid w:val="05D1A3B7"/>
    <w:rsid w:val="05D80C10"/>
    <w:rsid w:val="05E66839"/>
    <w:rsid w:val="05EAF39C"/>
    <w:rsid w:val="05ECA5DA"/>
    <w:rsid w:val="05F3591F"/>
    <w:rsid w:val="05F72CB9"/>
    <w:rsid w:val="05F77FAB"/>
    <w:rsid w:val="0600D159"/>
    <w:rsid w:val="061AB78E"/>
    <w:rsid w:val="061B6E83"/>
    <w:rsid w:val="061CC9B7"/>
    <w:rsid w:val="06297D90"/>
    <w:rsid w:val="062CBC7F"/>
    <w:rsid w:val="0632F9B0"/>
    <w:rsid w:val="065452CD"/>
    <w:rsid w:val="0669618E"/>
    <w:rsid w:val="066D013E"/>
    <w:rsid w:val="067BF61B"/>
    <w:rsid w:val="06850D48"/>
    <w:rsid w:val="068818D4"/>
    <w:rsid w:val="069C2809"/>
    <w:rsid w:val="069D4DB0"/>
    <w:rsid w:val="069FD418"/>
    <w:rsid w:val="06B6F576"/>
    <w:rsid w:val="06B9C564"/>
    <w:rsid w:val="06C59A2E"/>
    <w:rsid w:val="06E79F8B"/>
    <w:rsid w:val="06F94D12"/>
    <w:rsid w:val="07092EF7"/>
    <w:rsid w:val="07210A6B"/>
    <w:rsid w:val="0729A94C"/>
    <w:rsid w:val="072C7047"/>
    <w:rsid w:val="073150DA"/>
    <w:rsid w:val="073624D7"/>
    <w:rsid w:val="0738E20F"/>
    <w:rsid w:val="074C98E1"/>
    <w:rsid w:val="0768DB1C"/>
    <w:rsid w:val="07869D59"/>
    <w:rsid w:val="078E513C"/>
    <w:rsid w:val="07919892"/>
    <w:rsid w:val="0794C73F"/>
    <w:rsid w:val="07A1DF76"/>
    <w:rsid w:val="07A23E2F"/>
    <w:rsid w:val="07B44422"/>
    <w:rsid w:val="07BF077F"/>
    <w:rsid w:val="07BF848B"/>
    <w:rsid w:val="07C62F62"/>
    <w:rsid w:val="07D4E094"/>
    <w:rsid w:val="07DB64C3"/>
    <w:rsid w:val="07E034F2"/>
    <w:rsid w:val="07E2E5DE"/>
    <w:rsid w:val="07E8D464"/>
    <w:rsid w:val="0811801E"/>
    <w:rsid w:val="0811AD31"/>
    <w:rsid w:val="0812FE68"/>
    <w:rsid w:val="0823B130"/>
    <w:rsid w:val="082EDA1E"/>
    <w:rsid w:val="082FA385"/>
    <w:rsid w:val="0831ECFA"/>
    <w:rsid w:val="0833FDC8"/>
    <w:rsid w:val="084EF31A"/>
    <w:rsid w:val="085102D6"/>
    <w:rsid w:val="08531542"/>
    <w:rsid w:val="0860BD84"/>
    <w:rsid w:val="086479CD"/>
    <w:rsid w:val="08883C3E"/>
    <w:rsid w:val="08950DD6"/>
    <w:rsid w:val="089A95A2"/>
    <w:rsid w:val="089E84CA"/>
    <w:rsid w:val="08A7D16E"/>
    <w:rsid w:val="08A893A7"/>
    <w:rsid w:val="08ABA072"/>
    <w:rsid w:val="08B44D7D"/>
    <w:rsid w:val="08CE6BE2"/>
    <w:rsid w:val="08CF1917"/>
    <w:rsid w:val="08DF291E"/>
    <w:rsid w:val="08E4200E"/>
    <w:rsid w:val="08E5F9E5"/>
    <w:rsid w:val="08E98F64"/>
    <w:rsid w:val="08EA2286"/>
    <w:rsid w:val="08F34897"/>
    <w:rsid w:val="08F7DC06"/>
    <w:rsid w:val="0900D448"/>
    <w:rsid w:val="0902D41F"/>
    <w:rsid w:val="09188D27"/>
    <w:rsid w:val="09224455"/>
    <w:rsid w:val="092DB183"/>
    <w:rsid w:val="093F21C5"/>
    <w:rsid w:val="0964D73A"/>
    <w:rsid w:val="0965765C"/>
    <w:rsid w:val="096C3452"/>
    <w:rsid w:val="0975907C"/>
    <w:rsid w:val="097BAD9B"/>
    <w:rsid w:val="0980F569"/>
    <w:rsid w:val="098A4CF6"/>
    <w:rsid w:val="098F181B"/>
    <w:rsid w:val="09A31670"/>
    <w:rsid w:val="09A970BD"/>
    <w:rsid w:val="09AA9D8E"/>
    <w:rsid w:val="09ADBDD8"/>
    <w:rsid w:val="09BBCF8B"/>
    <w:rsid w:val="09BEA808"/>
    <w:rsid w:val="09D97A02"/>
    <w:rsid w:val="09E1D000"/>
    <w:rsid w:val="09E7D61B"/>
    <w:rsid w:val="0A12F08D"/>
    <w:rsid w:val="0A25887D"/>
    <w:rsid w:val="0A3070E1"/>
    <w:rsid w:val="0A3A6B85"/>
    <w:rsid w:val="0A418552"/>
    <w:rsid w:val="0A448385"/>
    <w:rsid w:val="0A46F7E0"/>
    <w:rsid w:val="0A48D3C1"/>
    <w:rsid w:val="0A67F6E3"/>
    <w:rsid w:val="0A739AD2"/>
    <w:rsid w:val="0A7DC33D"/>
    <w:rsid w:val="0A80B821"/>
    <w:rsid w:val="0A867896"/>
    <w:rsid w:val="0A90995F"/>
    <w:rsid w:val="0A9A2837"/>
    <w:rsid w:val="0A9C9C27"/>
    <w:rsid w:val="0AA54862"/>
    <w:rsid w:val="0AAABAC9"/>
    <w:rsid w:val="0AAFD195"/>
    <w:rsid w:val="0AC63C6F"/>
    <w:rsid w:val="0AD0AFD7"/>
    <w:rsid w:val="0ADB62D0"/>
    <w:rsid w:val="0AF0ED3E"/>
    <w:rsid w:val="0B0D1A0A"/>
    <w:rsid w:val="0B1A3E10"/>
    <w:rsid w:val="0B1F42BF"/>
    <w:rsid w:val="0B291EEB"/>
    <w:rsid w:val="0B33E7BC"/>
    <w:rsid w:val="0B41A66E"/>
    <w:rsid w:val="0B976244"/>
    <w:rsid w:val="0BC78D73"/>
    <w:rsid w:val="0BD40B6B"/>
    <w:rsid w:val="0BDF0644"/>
    <w:rsid w:val="0BED2A1E"/>
    <w:rsid w:val="0BFF46CC"/>
    <w:rsid w:val="0C06D80A"/>
    <w:rsid w:val="0C0BDDDB"/>
    <w:rsid w:val="0C0E3451"/>
    <w:rsid w:val="0C228130"/>
    <w:rsid w:val="0C26D58D"/>
    <w:rsid w:val="0C33026D"/>
    <w:rsid w:val="0C3E60B2"/>
    <w:rsid w:val="0C423143"/>
    <w:rsid w:val="0C468AAC"/>
    <w:rsid w:val="0C4F1993"/>
    <w:rsid w:val="0C568745"/>
    <w:rsid w:val="0C61F92A"/>
    <w:rsid w:val="0C63B4F1"/>
    <w:rsid w:val="0C7BEE1D"/>
    <w:rsid w:val="0C8240B6"/>
    <w:rsid w:val="0C8B0AD0"/>
    <w:rsid w:val="0C903A6E"/>
    <w:rsid w:val="0C9D4237"/>
    <w:rsid w:val="0CA8311C"/>
    <w:rsid w:val="0CAEFEF6"/>
    <w:rsid w:val="0CB722D9"/>
    <w:rsid w:val="0CC4FDCB"/>
    <w:rsid w:val="0CDF9944"/>
    <w:rsid w:val="0CE1D3B7"/>
    <w:rsid w:val="0CF19F9F"/>
    <w:rsid w:val="0CF4C27B"/>
    <w:rsid w:val="0CF92104"/>
    <w:rsid w:val="0D1A50D7"/>
    <w:rsid w:val="0D211FA9"/>
    <w:rsid w:val="0D497659"/>
    <w:rsid w:val="0D4E1C12"/>
    <w:rsid w:val="0D4E321F"/>
    <w:rsid w:val="0D518A44"/>
    <w:rsid w:val="0D566310"/>
    <w:rsid w:val="0D68CE4D"/>
    <w:rsid w:val="0D69C949"/>
    <w:rsid w:val="0D7EEDF1"/>
    <w:rsid w:val="0D82B5BD"/>
    <w:rsid w:val="0D9E0E75"/>
    <w:rsid w:val="0DA41D61"/>
    <w:rsid w:val="0DA9838E"/>
    <w:rsid w:val="0DB486D3"/>
    <w:rsid w:val="0DB6DCE1"/>
    <w:rsid w:val="0DC93D9E"/>
    <w:rsid w:val="0DCEE44E"/>
    <w:rsid w:val="0DDD1611"/>
    <w:rsid w:val="0DE327C0"/>
    <w:rsid w:val="0DE6C0F9"/>
    <w:rsid w:val="0DED8B37"/>
    <w:rsid w:val="0E0AF15C"/>
    <w:rsid w:val="0E1034FD"/>
    <w:rsid w:val="0E11D858"/>
    <w:rsid w:val="0E12ECF2"/>
    <w:rsid w:val="0E264C0C"/>
    <w:rsid w:val="0E2E0DDA"/>
    <w:rsid w:val="0E37A476"/>
    <w:rsid w:val="0E3D1FF8"/>
    <w:rsid w:val="0E3E8257"/>
    <w:rsid w:val="0E411E7C"/>
    <w:rsid w:val="0E492842"/>
    <w:rsid w:val="0E4CA319"/>
    <w:rsid w:val="0E4F1E2E"/>
    <w:rsid w:val="0E5B4879"/>
    <w:rsid w:val="0E65DB03"/>
    <w:rsid w:val="0E77235A"/>
    <w:rsid w:val="0E8B4762"/>
    <w:rsid w:val="0E8CB54B"/>
    <w:rsid w:val="0E9AF7AD"/>
    <w:rsid w:val="0EA015A8"/>
    <w:rsid w:val="0EAF8A09"/>
    <w:rsid w:val="0EB4F0CD"/>
    <w:rsid w:val="0EBEC74D"/>
    <w:rsid w:val="0EBEDC83"/>
    <w:rsid w:val="0EC14E4F"/>
    <w:rsid w:val="0EC6A56A"/>
    <w:rsid w:val="0EDEE97D"/>
    <w:rsid w:val="0EE61470"/>
    <w:rsid w:val="0EF04FAE"/>
    <w:rsid w:val="0EFFBD00"/>
    <w:rsid w:val="0F18122B"/>
    <w:rsid w:val="0F19E90E"/>
    <w:rsid w:val="0F2A22CD"/>
    <w:rsid w:val="0F38970F"/>
    <w:rsid w:val="0F4C697D"/>
    <w:rsid w:val="0F56241C"/>
    <w:rsid w:val="0F5B42E7"/>
    <w:rsid w:val="0F688AD0"/>
    <w:rsid w:val="0F6BFACA"/>
    <w:rsid w:val="0F7A58D9"/>
    <w:rsid w:val="0F7A6008"/>
    <w:rsid w:val="0F7E30A3"/>
    <w:rsid w:val="0F802663"/>
    <w:rsid w:val="0F8E86C0"/>
    <w:rsid w:val="0F91575F"/>
    <w:rsid w:val="0F9771B7"/>
    <w:rsid w:val="0F9F407B"/>
    <w:rsid w:val="0FAD7B59"/>
    <w:rsid w:val="0FB14FA5"/>
    <w:rsid w:val="0FBF0293"/>
    <w:rsid w:val="0FC851B4"/>
    <w:rsid w:val="0FC97A5A"/>
    <w:rsid w:val="0FCAFD38"/>
    <w:rsid w:val="0FD2C3C1"/>
    <w:rsid w:val="0FD4FC22"/>
    <w:rsid w:val="0FDE71F0"/>
    <w:rsid w:val="0FE5B842"/>
    <w:rsid w:val="0FFA0F97"/>
    <w:rsid w:val="0FFFB632"/>
    <w:rsid w:val="10055FF1"/>
    <w:rsid w:val="100762BC"/>
    <w:rsid w:val="100C1864"/>
    <w:rsid w:val="103285D6"/>
    <w:rsid w:val="10498D83"/>
    <w:rsid w:val="105E8F4D"/>
    <w:rsid w:val="106586FF"/>
    <w:rsid w:val="106B590C"/>
    <w:rsid w:val="107A965C"/>
    <w:rsid w:val="1088E834"/>
    <w:rsid w:val="108CE40B"/>
    <w:rsid w:val="10A2B69D"/>
    <w:rsid w:val="10A329CC"/>
    <w:rsid w:val="10A44AC3"/>
    <w:rsid w:val="10B34159"/>
    <w:rsid w:val="10B6C07F"/>
    <w:rsid w:val="10CB7052"/>
    <w:rsid w:val="10D08BE5"/>
    <w:rsid w:val="10D2E1B6"/>
    <w:rsid w:val="10EB52D5"/>
    <w:rsid w:val="1103030A"/>
    <w:rsid w:val="11050CB0"/>
    <w:rsid w:val="11079CB7"/>
    <w:rsid w:val="110C2543"/>
    <w:rsid w:val="1111B8E4"/>
    <w:rsid w:val="1113B469"/>
    <w:rsid w:val="11189154"/>
    <w:rsid w:val="1129F134"/>
    <w:rsid w:val="113672A0"/>
    <w:rsid w:val="1150945A"/>
    <w:rsid w:val="1159034E"/>
    <w:rsid w:val="1170DC24"/>
    <w:rsid w:val="1175CC16"/>
    <w:rsid w:val="1176F9AE"/>
    <w:rsid w:val="117DD75D"/>
    <w:rsid w:val="1182308D"/>
    <w:rsid w:val="11AF6B4D"/>
    <w:rsid w:val="11BB9629"/>
    <w:rsid w:val="11C884EB"/>
    <w:rsid w:val="11C96861"/>
    <w:rsid w:val="11CF4DC0"/>
    <w:rsid w:val="11D3D8F3"/>
    <w:rsid w:val="11D8F1E7"/>
    <w:rsid w:val="11F3B5FE"/>
    <w:rsid w:val="11FD8EF7"/>
    <w:rsid w:val="1202BBCD"/>
    <w:rsid w:val="1204B90C"/>
    <w:rsid w:val="12065D65"/>
    <w:rsid w:val="121E2664"/>
    <w:rsid w:val="1227F401"/>
    <w:rsid w:val="1229640B"/>
    <w:rsid w:val="122ADED1"/>
    <w:rsid w:val="12332493"/>
    <w:rsid w:val="12384F27"/>
    <w:rsid w:val="124A37C0"/>
    <w:rsid w:val="1253D045"/>
    <w:rsid w:val="1257244A"/>
    <w:rsid w:val="12662225"/>
    <w:rsid w:val="126D5971"/>
    <w:rsid w:val="126E48EA"/>
    <w:rsid w:val="127F7660"/>
    <w:rsid w:val="127FF043"/>
    <w:rsid w:val="128116B3"/>
    <w:rsid w:val="128499C2"/>
    <w:rsid w:val="128864D7"/>
    <w:rsid w:val="128FD345"/>
    <w:rsid w:val="12A136F9"/>
    <w:rsid w:val="12A56C5B"/>
    <w:rsid w:val="12C0E8EF"/>
    <w:rsid w:val="12C85B7E"/>
    <w:rsid w:val="12C8A5DC"/>
    <w:rsid w:val="12DC2910"/>
    <w:rsid w:val="12FC2EA9"/>
    <w:rsid w:val="13072201"/>
    <w:rsid w:val="13076187"/>
    <w:rsid w:val="1308D289"/>
    <w:rsid w:val="130C841B"/>
    <w:rsid w:val="130E5606"/>
    <w:rsid w:val="131B8309"/>
    <w:rsid w:val="131FCB12"/>
    <w:rsid w:val="1324ECE7"/>
    <w:rsid w:val="1325D7B1"/>
    <w:rsid w:val="132920F9"/>
    <w:rsid w:val="132C459A"/>
    <w:rsid w:val="133608C8"/>
    <w:rsid w:val="133C2F27"/>
    <w:rsid w:val="135641FA"/>
    <w:rsid w:val="1371ED50"/>
    <w:rsid w:val="137962C6"/>
    <w:rsid w:val="137FBC49"/>
    <w:rsid w:val="138501EB"/>
    <w:rsid w:val="1399A46E"/>
    <w:rsid w:val="13A42BB5"/>
    <w:rsid w:val="13A5999F"/>
    <w:rsid w:val="13BEEF1D"/>
    <w:rsid w:val="13C02A2A"/>
    <w:rsid w:val="13C0D7AD"/>
    <w:rsid w:val="13CCB384"/>
    <w:rsid w:val="13D2DACB"/>
    <w:rsid w:val="13D8DA2D"/>
    <w:rsid w:val="13DFB9F5"/>
    <w:rsid w:val="13EBE65F"/>
    <w:rsid w:val="13F035D7"/>
    <w:rsid w:val="140F9FC0"/>
    <w:rsid w:val="1434F19E"/>
    <w:rsid w:val="1438CA43"/>
    <w:rsid w:val="1438E955"/>
    <w:rsid w:val="143F7D4F"/>
    <w:rsid w:val="1452C110"/>
    <w:rsid w:val="145850E9"/>
    <w:rsid w:val="14594E93"/>
    <w:rsid w:val="14718379"/>
    <w:rsid w:val="14734348"/>
    <w:rsid w:val="14780DCF"/>
    <w:rsid w:val="148026C3"/>
    <w:rsid w:val="14831E78"/>
    <w:rsid w:val="14A13130"/>
    <w:rsid w:val="14A40BF1"/>
    <w:rsid w:val="14B17288"/>
    <w:rsid w:val="14B34071"/>
    <w:rsid w:val="14BE7F63"/>
    <w:rsid w:val="14CFF329"/>
    <w:rsid w:val="150B8672"/>
    <w:rsid w:val="1516F925"/>
    <w:rsid w:val="15178141"/>
    <w:rsid w:val="1518B75B"/>
    <w:rsid w:val="1521B825"/>
    <w:rsid w:val="15309067"/>
    <w:rsid w:val="1534943A"/>
    <w:rsid w:val="153892EC"/>
    <w:rsid w:val="153C6ACE"/>
    <w:rsid w:val="15472D72"/>
    <w:rsid w:val="15499661"/>
    <w:rsid w:val="1553F619"/>
    <w:rsid w:val="155C5448"/>
    <w:rsid w:val="1561DE8C"/>
    <w:rsid w:val="1562D521"/>
    <w:rsid w:val="1572FE4E"/>
    <w:rsid w:val="1576EBDF"/>
    <w:rsid w:val="159AC3A0"/>
    <w:rsid w:val="159C0F7D"/>
    <w:rsid w:val="15A86F3F"/>
    <w:rsid w:val="15CD324D"/>
    <w:rsid w:val="15CF9AF8"/>
    <w:rsid w:val="15D50995"/>
    <w:rsid w:val="15E0B85E"/>
    <w:rsid w:val="15EA1946"/>
    <w:rsid w:val="15EDB3FA"/>
    <w:rsid w:val="15F0DBB6"/>
    <w:rsid w:val="15F9A796"/>
    <w:rsid w:val="1614F4D2"/>
    <w:rsid w:val="16203720"/>
    <w:rsid w:val="162345D8"/>
    <w:rsid w:val="1625E2A4"/>
    <w:rsid w:val="16332805"/>
    <w:rsid w:val="1638B326"/>
    <w:rsid w:val="1651AA5F"/>
    <w:rsid w:val="16532931"/>
    <w:rsid w:val="166A0A96"/>
    <w:rsid w:val="166F3A2C"/>
    <w:rsid w:val="1685D699"/>
    <w:rsid w:val="1694AB84"/>
    <w:rsid w:val="1698B37B"/>
    <w:rsid w:val="16BE7D90"/>
    <w:rsid w:val="16BF1AA6"/>
    <w:rsid w:val="16C5DE52"/>
    <w:rsid w:val="16D3068B"/>
    <w:rsid w:val="16DCB065"/>
    <w:rsid w:val="16EC7C0F"/>
    <w:rsid w:val="16F368C0"/>
    <w:rsid w:val="17051FD1"/>
    <w:rsid w:val="170CB3B2"/>
    <w:rsid w:val="172F34B1"/>
    <w:rsid w:val="1730D2E9"/>
    <w:rsid w:val="173F1121"/>
    <w:rsid w:val="1743F998"/>
    <w:rsid w:val="174602CD"/>
    <w:rsid w:val="174A2442"/>
    <w:rsid w:val="174D1719"/>
    <w:rsid w:val="176E6ADB"/>
    <w:rsid w:val="176F9F3D"/>
    <w:rsid w:val="177962EC"/>
    <w:rsid w:val="17953EA9"/>
    <w:rsid w:val="1795D7FC"/>
    <w:rsid w:val="17B15CFF"/>
    <w:rsid w:val="17BCD11A"/>
    <w:rsid w:val="17BDAC82"/>
    <w:rsid w:val="17CC1F1A"/>
    <w:rsid w:val="17E87ED8"/>
    <w:rsid w:val="17EB38ED"/>
    <w:rsid w:val="17ECA3E3"/>
    <w:rsid w:val="18141F80"/>
    <w:rsid w:val="18144F2E"/>
    <w:rsid w:val="181E216B"/>
    <w:rsid w:val="182A1758"/>
    <w:rsid w:val="18310793"/>
    <w:rsid w:val="1851A809"/>
    <w:rsid w:val="185456B6"/>
    <w:rsid w:val="1855D044"/>
    <w:rsid w:val="186D9C32"/>
    <w:rsid w:val="187A3503"/>
    <w:rsid w:val="187E5D31"/>
    <w:rsid w:val="188A7631"/>
    <w:rsid w:val="189812F4"/>
    <w:rsid w:val="18985EAA"/>
    <w:rsid w:val="189CD123"/>
    <w:rsid w:val="189E297A"/>
    <w:rsid w:val="18A7C112"/>
    <w:rsid w:val="18B878D4"/>
    <w:rsid w:val="18DF41AE"/>
    <w:rsid w:val="18E5DCBA"/>
    <w:rsid w:val="18EB4D48"/>
    <w:rsid w:val="18F42DB2"/>
    <w:rsid w:val="18FA99FA"/>
    <w:rsid w:val="18FDA13F"/>
    <w:rsid w:val="1908665B"/>
    <w:rsid w:val="1914F6DF"/>
    <w:rsid w:val="191A9E9E"/>
    <w:rsid w:val="191D07B5"/>
    <w:rsid w:val="1925CC13"/>
    <w:rsid w:val="193C7124"/>
    <w:rsid w:val="194A4614"/>
    <w:rsid w:val="1951E543"/>
    <w:rsid w:val="19558583"/>
    <w:rsid w:val="19582A8A"/>
    <w:rsid w:val="195A63EA"/>
    <w:rsid w:val="19716DB6"/>
    <w:rsid w:val="19991FDB"/>
    <w:rsid w:val="19A08B8B"/>
    <w:rsid w:val="19B26112"/>
    <w:rsid w:val="19B2D5E5"/>
    <w:rsid w:val="19C413BD"/>
    <w:rsid w:val="19E9877D"/>
    <w:rsid w:val="19ED8319"/>
    <w:rsid w:val="19EDE731"/>
    <w:rsid w:val="19F336D9"/>
    <w:rsid w:val="19F351CC"/>
    <w:rsid w:val="19F5D05D"/>
    <w:rsid w:val="1A02E6E2"/>
    <w:rsid w:val="1A0EDE05"/>
    <w:rsid w:val="1A1354F1"/>
    <w:rsid w:val="1A235B18"/>
    <w:rsid w:val="1A24AF26"/>
    <w:rsid w:val="1A25309A"/>
    <w:rsid w:val="1A2F73F8"/>
    <w:rsid w:val="1A320898"/>
    <w:rsid w:val="1A4986E6"/>
    <w:rsid w:val="1A5733AF"/>
    <w:rsid w:val="1A5EE167"/>
    <w:rsid w:val="1A7EF1B7"/>
    <w:rsid w:val="1A82015E"/>
    <w:rsid w:val="1A8538A7"/>
    <w:rsid w:val="1A9DBEC8"/>
    <w:rsid w:val="1AA309D0"/>
    <w:rsid w:val="1AA66E24"/>
    <w:rsid w:val="1AAD60A1"/>
    <w:rsid w:val="1AAD6F82"/>
    <w:rsid w:val="1AB07E1E"/>
    <w:rsid w:val="1ABA24A0"/>
    <w:rsid w:val="1AC4F0B8"/>
    <w:rsid w:val="1ADD284E"/>
    <w:rsid w:val="1AEB6759"/>
    <w:rsid w:val="1AF59E36"/>
    <w:rsid w:val="1B031417"/>
    <w:rsid w:val="1B095D6D"/>
    <w:rsid w:val="1B0A559D"/>
    <w:rsid w:val="1B194E8E"/>
    <w:rsid w:val="1B1AE239"/>
    <w:rsid w:val="1B2790E7"/>
    <w:rsid w:val="1B27D7C5"/>
    <w:rsid w:val="1B2D66F2"/>
    <w:rsid w:val="1B31F8DF"/>
    <w:rsid w:val="1B3E0443"/>
    <w:rsid w:val="1B4FC84A"/>
    <w:rsid w:val="1B5BAD6A"/>
    <w:rsid w:val="1B5EE50F"/>
    <w:rsid w:val="1B645FC6"/>
    <w:rsid w:val="1B682458"/>
    <w:rsid w:val="1B716A5E"/>
    <w:rsid w:val="1B7AA9CC"/>
    <w:rsid w:val="1B81BCE8"/>
    <w:rsid w:val="1B93D649"/>
    <w:rsid w:val="1B985319"/>
    <w:rsid w:val="1BAC0B85"/>
    <w:rsid w:val="1BAE5296"/>
    <w:rsid w:val="1BCE450C"/>
    <w:rsid w:val="1BD1906C"/>
    <w:rsid w:val="1BD48D1F"/>
    <w:rsid w:val="1BDFB8C3"/>
    <w:rsid w:val="1BE3D186"/>
    <w:rsid w:val="1BE75D71"/>
    <w:rsid w:val="1BE877B9"/>
    <w:rsid w:val="1BEF8A95"/>
    <w:rsid w:val="1BF95C32"/>
    <w:rsid w:val="1BFAF45D"/>
    <w:rsid w:val="1C0660C7"/>
    <w:rsid w:val="1C22A2D4"/>
    <w:rsid w:val="1C249C04"/>
    <w:rsid w:val="1C28F97F"/>
    <w:rsid w:val="1C34F9F9"/>
    <w:rsid w:val="1C3830F6"/>
    <w:rsid w:val="1C3BF603"/>
    <w:rsid w:val="1C3C0330"/>
    <w:rsid w:val="1C3FB5C9"/>
    <w:rsid w:val="1C5113FF"/>
    <w:rsid w:val="1C519C3B"/>
    <w:rsid w:val="1C583C82"/>
    <w:rsid w:val="1C5863F8"/>
    <w:rsid w:val="1C5958FA"/>
    <w:rsid w:val="1C64F137"/>
    <w:rsid w:val="1C6502B1"/>
    <w:rsid w:val="1C671F7B"/>
    <w:rsid w:val="1C692354"/>
    <w:rsid w:val="1C760708"/>
    <w:rsid w:val="1C7FC6BC"/>
    <w:rsid w:val="1C8E695D"/>
    <w:rsid w:val="1C91FF3B"/>
    <w:rsid w:val="1CAE34ED"/>
    <w:rsid w:val="1CB1541C"/>
    <w:rsid w:val="1CB67992"/>
    <w:rsid w:val="1CBD0943"/>
    <w:rsid w:val="1CBFEE22"/>
    <w:rsid w:val="1CC7FA9F"/>
    <w:rsid w:val="1CD3ECA4"/>
    <w:rsid w:val="1CE74A3B"/>
    <w:rsid w:val="1CEBAF15"/>
    <w:rsid w:val="1CF0E173"/>
    <w:rsid w:val="1CF47900"/>
    <w:rsid w:val="1CFF3EE4"/>
    <w:rsid w:val="1D01213F"/>
    <w:rsid w:val="1D15F379"/>
    <w:rsid w:val="1D1C1845"/>
    <w:rsid w:val="1D28484C"/>
    <w:rsid w:val="1D2B39EB"/>
    <w:rsid w:val="1D33018C"/>
    <w:rsid w:val="1D3F0D16"/>
    <w:rsid w:val="1D41B17F"/>
    <w:rsid w:val="1D454ABA"/>
    <w:rsid w:val="1D5AA675"/>
    <w:rsid w:val="1D6181F2"/>
    <w:rsid w:val="1D66960B"/>
    <w:rsid w:val="1D731091"/>
    <w:rsid w:val="1D86553B"/>
    <w:rsid w:val="1D885E7A"/>
    <w:rsid w:val="1D9141C7"/>
    <w:rsid w:val="1D97B947"/>
    <w:rsid w:val="1D9C3EBC"/>
    <w:rsid w:val="1DBE99F4"/>
    <w:rsid w:val="1DCFC71D"/>
    <w:rsid w:val="1DD1066B"/>
    <w:rsid w:val="1DD49DFA"/>
    <w:rsid w:val="1DD90082"/>
    <w:rsid w:val="1DE23B2F"/>
    <w:rsid w:val="1DE9EF40"/>
    <w:rsid w:val="1DF705F3"/>
    <w:rsid w:val="1E04EAA3"/>
    <w:rsid w:val="1E0828B8"/>
    <w:rsid w:val="1E0E9E41"/>
    <w:rsid w:val="1E0EC346"/>
    <w:rsid w:val="1E24F107"/>
    <w:rsid w:val="1E27854C"/>
    <w:rsid w:val="1E2FC703"/>
    <w:rsid w:val="1E3C8F95"/>
    <w:rsid w:val="1E53C18D"/>
    <w:rsid w:val="1E587983"/>
    <w:rsid w:val="1E6005D5"/>
    <w:rsid w:val="1E64D776"/>
    <w:rsid w:val="1E651863"/>
    <w:rsid w:val="1E71B592"/>
    <w:rsid w:val="1E72D214"/>
    <w:rsid w:val="1E7602D9"/>
    <w:rsid w:val="1E775CB2"/>
    <w:rsid w:val="1E8E5337"/>
    <w:rsid w:val="1E9DC9D3"/>
    <w:rsid w:val="1EA2B876"/>
    <w:rsid w:val="1EAC758B"/>
    <w:rsid w:val="1EC98CE4"/>
    <w:rsid w:val="1EE0B98F"/>
    <w:rsid w:val="1EE1335F"/>
    <w:rsid w:val="1EF6EF25"/>
    <w:rsid w:val="1F00B306"/>
    <w:rsid w:val="1F0465FA"/>
    <w:rsid w:val="1F0A72F7"/>
    <w:rsid w:val="1F0BC0B5"/>
    <w:rsid w:val="1F0F9854"/>
    <w:rsid w:val="1F215D65"/>
    <w:rsid w:val="1F22FF95"/>
    <w:rsid w:val="1F2AAB9C"/>
    <w:rsid w:val="1F2C04AB"/>
    <w:rsid w:val="1F35549A"/>
    <w:rsid w:val="1F3795A3"/>
    <w:rsid w:val="1F44F95F"/>
    <w:rsid w:val="1F4AD1DC"/>
    <w:rsid w:val="1F60B694"/>
    <w:rsid w:val="1F65E5FF"/>
    <w:rsid w:val="1F861377"/>
    <w:rsid w:val="1F8A252F"/>
    <w:rsid w:val="1F8DE6FB"/>
    <w:rsid w:val="1F96BBC7"/>
    <w:rsid w:val="1F996EB7"/>
    <w:rsid w:val="1FB25E36"/>
    <w:rsid w:val="1FCE551D"/>
    <w:rsid w:val="1FD19529"/>
    <w:rsid w:val="1FD952C5"/>
    <w:rsid w:val="1FDA3B4B"/>
    <w:rsid w:val="1FDB2F46"/>
    <w:rsid w:val="1FDEDEFE"/>
    <w:rsid w:val="1FDF5B73"/>
    <w:rsid w:val="1FEC7D49"/>
    <w:rsid w:val="1FF2B650"/>
    <w:rsid w:val="1FFABCEC"/>
    <w:rsid w:val="1FFCD6EA"/>
    <w:rsid w:val="200EA553"/>
    <w:rsid w:val="20112183"/>
    <w:rsid w:val="201628A3"/>
    <w:rsid w:val="201C6E89"/>
    <w:rsid w:val="20329F4F"/>
    <w:rsid w:val="20421CD6"/>
    <w:rsid w:val="2045DF76"/>
    <w:rsid w:val="205DC309"/>
    <w:rsid w:val="20650388"/>
    <w:rsid w:val="20724FCE"/>
    <w:rsid w:val="20807284"/>
    <w:rsid w:val="2089C5E4"/>
    <w:rsid w:val="209B1135"/>
    <w:rsid w:val="20C060F0"/>
    <w:rsid w:val="20C32518"/>
    <w:rsid w:val="20C40861"/>
    <w:rsid w:val="20C65168"/>
    <w:rsid w:val="20D5065F"/>
    <w:rsid w:val="20DD7E12"/>
    <w:rsid w:val="20EB3949"/>
    <w:rsid w:val="20F1D619"/>
    <w:rsid w:val="20F526AB"/>
    <w:rsid w:val="21030CFE"/>
    <w:rsid w:val="2106A565"/>
    <w:rsid w:val="2107C3E6"/>
    <w:rsid w:val="210C4C3A"/>
    <w:rsid w:val="210DCCEA"/>
    <w:rsid w:val="2111EFA9"/>
    <w:rsid w:val="21170DF5"/>
    <w:rsid w:val="212E2CF5"/>
    <w:rsid w:val="2130379F"/>
    <w:rsid w:val="2139A1D5"/>
    <w:rsid w:val="2144B41D"/>
    <w:rsid w:val="21508207"/>
    <w:rsid w:val="21532F08"/>
    <w:rsid w:val="21551429"/>
    <w:rsid w:val="215C5954"/>
    <w:rsid w:val="215C7BFE"/>
    <w:rsid w:val="215FF9A1"/>
    <w:rsid w:val="21615C49"/>
    <w:rsid w:val="2166C71C"/>
    <w:rsid w:val="217793E6"/>
    <w:rsid w:val="217F54D9"/>
    <w:rsid w:val="21882DF8"/>
    <w:rsid w:val="21941747"/>
    <w:rsid w:val="219921F1"/>
    <w:rsid w:val="2199D30C"/>
    <w:rsid w:val="21BEE724"/>
    <w:rsid w:val="21D55EAF"/>
    <w:rsid w:val="21EB9CD7"/>
    <w:rsid w:val="21ED6989"/>
    <w:rsid w:val="21FA5493"/>
    <w:rsid w:val="222C9374"/>
    <w:rsid w:val="2231F3E8"/>
    <w:rsid w:val="22327317"/>
    <w:rsid w:val="2233B373"/>
    <w:rsid w:val="224D8A9A"/>
    <w:rsid w:val="224FC5F7"/>
    <w:rsid w:val="225C0BAC"/>
    <w:rsid w:val="226015A0"/>
    <w:rsid w:val="226189AD"/>
    <w:rsid w:val="22667DCA"/>
    <w:rsid w:val="226C6F76"/>
    <w:rsid w:val="2272951F"/>
    <w:rsid w:val="22769551"/>
    <w:rsid w:val="2279ACE8"/>
    <w:rsid w:val="227C33EF"/>
    <w:rsid w:val="229722C6"/>
    <w:rsid w:val="229D162A"/>
    <w:rsid w:val="22A463A1"/>
    <w:rsid w:val="22A4DCC0"/>
    <w:rsid w:val="22B27039"/>
    <w:rsid w:val="22BE2A49"/>
    <w:rsid w:val="22BE772C"/>
    <w:rsid w:val="22BFE140"/>
    <w:rsid w:val="22C07330"/>
    <w:rsid w:val="22C646F3"/>
    <w:rsid w:val="22CD05AF"/>
    <w:rsid w:val="22D5EDC4"/>
    <w:rsid w:val="22F80D2A"/>
    <w:rsid w:val="22FCF88E"/>
    <w:rsid w:val="22FFA1BB"/>
    <w:rsid w:val="23006A1F"/>
    <w:rsid w:val="2301452F"/>
    <w:rsid w:val="23127655"/>
    <w:rsid w:val="232AB108"/>
    <w:rsid w:val="233E356E"/>
    <w:rsid w:val="233E6E0E"/>
    <w:rsid w:val="234DDD45"/>
    <w:rsid w:val="234FCD84"/>
    <w:rsid w:val="2351D312"/>
    <w:rsid w:val="235B4F30"/>
    <w:rsid w:val="235E9CC7"/>
    <w:rsid w:val="236410B7"/>
    <w:rsid w:val="236929A4"/>
    <w:rsid w:val="237B82E5"/>
    <w:rsid w:val="23815CA9"/>
    <w:rsid w:val="23933447"/>
    <w:rsid w:val="239554AB"/>
    <w:rsid w:val="2396BAB2"/>
    <w:rsid w:val="23975D93"/>
    <w:rsid w:val="23A36A33"/>
    <w:rsid w:val="23A9ADC8"/>
    <w:rsid w:val="23AD5EA6"/>
    <w:rsid w:val="23B984AD"/>
    <w:rsid w:val="23DD645F"/>
    <w:rsid w:val="23F6536E"/>
    <w:rsid w:val="240E113B"/>
    <w:rsid w:val="2411DE7F"/>
    <w:rsid w:val="2414CD65"/>
    <w:rsid w:val="242A2734"/>
    <w:rsid w:val="2431BA83"/>
    <w:rsid w:val="2441620C"/>
    <w:rsid w:val="24487AE5"/>
    <w:rsid w:val="244CDEB7"/>
    <w:rsid w:val="244D4251"/>
    <w:rsid w:val="245FA170"/>
    <w:rsid w:val="24783E2B"/>
    <w:rsid w:val="247C50D9"/>
    <w:rsid w:val="24807469"/>
    <w:rsid w:val="2487A71E"/>
    <w:rsid w:val="248D3E86"/>
    <w:rsid w:val="24A48D72"/>
    <w:rsid w:val="24B4C928"/>
    <w:rsid w:val="24B79544"/>
    <w:rsid w:val="24BCC57B"/>
    <w:rsid w:val="24BE2D09"/>
    <w:rsid w:val="24CDC106"/>
    <w:rsid w:val="24CE90AD"/>
    <w:rsid w:val="24CF66D4"/>
    <w:rsid w:val="24D7D494"/>
    <w:rsid w:val="24DCFDB0"/>
    <w:rsid w:val="24EEA81F"/>
    <w:rsid w:val="24EF4584"/>
    <w:rsid w:val="24F2F56F"/>
    <w:rsid w:val="24FBF03E"/>
    <w:rsid w:val="24FE5F38"/>
    <w:rsid w:val="25003B88"/>
    <w:rsid w:val="2503FBA8"/>
    <w:rsid w:val="2506ED8C"/>
    <w:rsid w:val="25129BCF"/>
    <w:rsid w:val="2516F2C9"/>
    <w:rsid w:val="252039E2"/>
    <w:rsid w:val="2527C444"/>
    <w:rsid w:val="25349E1D"/>
    <w:rsid w:val="254480F0"/>
    <w:rsid w:val="254CA708"/>
    <w:rsid w:val="2574D0BC"/>
    <w:rsid w:val="25785956"/>
    <w:rsid w:val="2579DBE9"/>
    <w:rsid w:val="2595029B"/>
    <w:rsid w:val="25994F87"/>
    <w:rsid w:val="25A8AED1"/>
    <w:rsid w:val="25AC2E66"/>
    <w:rsid w:val="25AD10A6"/>
    <w:rsid w:val="25AF0CBD"/>
    <w:rsid w:val="25C67C96"/>
    <w:rsid w:val="25CC455D"/>
    <w:rsid w:val="25CE96C4"/>
    <w:rsid w:val="25D074CB"/>
    <w:rsid w:val="25D8A99C"/>
    <w:rsid w:val="25DBE1E9"/>
    <w:rsid w:val="25E40EC8"/>
    <w:rsid w:val="25E7841B"/>
    <w:rsid w:val="26084D80"/>
    <w:rsid w:val="260E5D23"/>
    <w:rsid w:val="2612896D"/>
    <w:rsid w:val="261D6628"/>
    <w:rsid w:val="262B031B"/>
    <w:rsid w:val="263913ED"/>
    <w:rsid w:val="2645C4DB"/>
    <w:rsid w:val="264AA1BF"/>
    <w:rsid w:val="26595112"/>
    <w:rsid w:val="26855F05"/>
    <w:rsid w:val="26884BD0"/>
    <w:rsid w:val="26932C5C"/>
    <w:rsid w:val="269E8A36"/>
    <w:rsid w:val="26AA7BB2"/>
    <w:rsid w:val="26BD93C9"/>
    <w:rsid w:val="26C00604"/>
    <w:rsid w:val="26C5D8A4"/>
    <w:rsid w:val="26DE3664"/>
    <w:rsid w:val="26E3AD4C"/>
    <w:rsid w:val="26EA1F37"/>
    <w:rsid w:val="26FFB2EB"/>
    <w:rsid w:val="2713D9C2"/>
    <w:rsid w:val="27191646"/>
    <w:rsid w:val="2735AEF5"/>
    <w:rsid w:val="2749FB98"/>
    <w:rsid w:val="27511064"/>
    <w:rsid w:val="275130A4"/>
    <w:rsid w:val="2754CEA5"/>
    <w:rsid w:val="275C9BE3"/>
    <w:rsid w:val="275CD559"/>
    <w:rsid w:val="275CF508"/>
    <w:rsid w:val="277A12CC"/>
    <w:rsid w:val="278C6527"/>
    <w:rsid w:val="27959611"/>
    <w:rsid w:val="27978A62"/>
    <w:rsid w:val="2798805A"/>
    <w:rsid w:val="27ABAFA3"/>
    <w:rsid w:val="27AD7811"/>
    <w:rsid w:val="27BD492D"/>
    <w:rsid w:val="27C115B9"/>
    <w:rsid w:val="27C86F99"/>
    <w:rsid w:val="27CF3AD5"/>
    <w:rsid w:val="27E73C18"/>
    <w:rsid w:val="27ED041C"/>
    <w:rsid w:val="27F80DE2"/>
    <w:rsid w:val="281BC1AE"/>
    <w:rsid w:val="2821E77A"/>
    <w:rsid w:val="28373E14"/>
    <w:rsid w:val="283E02A2"/>
    <w:rsid w:val="283FB7B1"/>
    <w:rsid w:val="28476F66"/>
    <w:rsid w:val="2852EF7C"/>
    <w:rsid w:val="2857007A"/>
    <w:rsid w:val="285F3E4D"/>
    <w:rsid w:val="286189AD"/>
    <w:rsid w:val="289010CB"/>
    <w:rsid w:val="28AE38BD"/>
    <w:rsid w:val="28C7F75B"/>
    <w:rsid w:val="28CBDB4F"/>
    <w:rsid w:val="28CE1DC7"/>
    <w:rsid w:val="28D34943"/>
    <w:rsid w:val="28F71DC6"/>
    <w:rsid w:val="28F87EB7"/>
    <w:rsid w:val="28FA93C5"/>
    <w:rsid w:val="2903CD80"/>
    <w:rsid w:val="29050552"/>
    <w:rsid w:val="2909946E"/>
    <w:rsid w:val="291ABFC4"/>
    <w:rsid w:val="291B3A7D"/>
    <w:rsid w:val="291D2F02"/>
    <w:rsid w:val="292F929E"/>
    <w:rsid w:val="2931D478"/>
    <w:rsid w:val="2938BB8B"/>
    <w:rsid w:val="293D2A66"/>
    <w:rsid w:val="2944ACBF"/>
    <w:rsid w:val="2958CB62"/>
    <w:rsid w:val="295D36BF"/>
    <w:rsid w:val="295DE3E8"/>
    <w:rsid w:val="295E1258"/>
    <w:rsid w:val="295E9948"/>
    <w:rsid w:val="296F545B"/>
    <w:rsid w:val="298B2FA8"/>
    <w:rsid w:val="2993B908"/>
    <w:rsid w:val="299DA418"/>
    <w:rsid w:val="29AC0E43"/>
    <w:rsid w:val="29B895CA"/>
    <w:rsid w:val="29BEDFFF"/>
    <w:rsid w:val="29C3AA88"/>
    <w:rsid w:val="29CB6D64"/>
    <w:rsid w:val="29DA4053"/>
    <w:rsid w:val="29EC8D36"/>
    <w:rsid w:val="2A0A61CE"/>
    <w:rsid w:val="2A0B8A39"/>
    <w:rsid w:val="2A0EBF85"/>
    <w:rsid w:val="2A110B9F"/>
    <w:rsid w:val="2A24D1E6"/>
    <w:rsid w:val="2A486B10"/>
    <w:rsid w:val="2A4DC029"/>
    <w:rsid w:val="2A82658C"/>
    <w:rsid w:val="2AA564C9"/>
    <w:rsid w:val="2AB75894"/>
    <w:rsid w:val="2AB9BFCF"/>
    <w:rsid w:val="2ABCE044"/>
    <w:rsid w:val="2AC3E43A"/>
    <w:rsid w:val="2ACA00A7"/>
    <w:rsid w:val="2AD4597A"/>
    <w:rsid w:val="2ADBD23D"/>
    <w:rsid w:val="2AE616D4"/>
    <w:rsid w:val="2AE7FB49"/>
    <w:rsid w:val="2AEF325B"/>
    <w:rsid w:val="2AF58393"/>
    <w:rsid w:val="2B01E094"/>
    <w:rsid w:val="2B056D5C"/>
    <w:rsid w:val="2B05E936"/>
    <w:rsid w:val="2B0FD00A"/>
    <w:rsid w:val="2B1CDFC5"/>
    <w:rsid w:val="2B2F6FCD"/>
    <w:rsid w:val="2B3237E8"/>
    <w:rsid w:val="2B43C3C8"/>
    <w:rsid w:val="2B45EC65"/>
    <w:rsid w:val="2B46D6D0"/>
    <w:rsid w:val="2B562828"/>
    <w:rsid w:val="2B672A7D"/>
    <w:rsid w:val="2B6DD8E0"/>
    <w:rsid w:val="2B700EB6"/>
    <w:rsid w:val="2B853874"/>
    <w:rsid w:val="2B869091"/>
    <w:rsid w:val="2B8BFD7E"/>
    <w:rsid w:val="2B8DFD34"/>
    <w:rsid w:val="2B9142E3"/>
    <w:rsid w:val="2B967D60"/>
    <w:rsid w:val="2B9AD325"/>
    <w:rsid w:val="2B9C24BA"/>
    <w:rsid w:val="2BABF386"/>
    <w:rsid w:val="2BB6F320"/>
    <w:rsid w:val="2BCD5B06"/>
    <w:rsid w:val="2BD2920C"/>
    <w:rsid w:val="2BDC5E02"/>
    <w:rsid w:val="2BE2CDDE"/>
    <w:rsid w:val="2BE30D23"/>
    <w:rsid w:val="2BE5B7A9"/>
    <w:rsid w:val="2BEA0416"/>
    <w:rsid w:val="2BF0FD82"/>
    <w:rsid w:val="2BF29F54"/>
    <w:rsid w:val="2BF3DD75"/>
    <w:rsid w:val="2C011A3D"/>
    <w:rsid w:val="2C10055E"/>
    <w:rsid w:val="2C20B311"/>
    <w:rsid w:val="2C215F77"/>
    <w:rsid w:val="2C3636C5"/>
    <w:rsid w:val="2C3A5C5F"/>
    <w:rsid w:val="2C41B6A7"/>
    <w:rsid w:val="2C4921F3"/>
    <w:rsid w:val="2C53DD6C"/>
    <w:rsid w:val="2C5422B1"/>
    <w:rsid w:val="2C58E868"/>
    <w:rsid w:val="2C5FFDA1"/>
    <w:rsid w:val="2C62F120"/>
    <w:rsid w:val="2C6AD159"/>
    <w:rsid w:val="2C6EF4E0"/>
    <w:rsid w:val="2C821D1D"/>
    <w:rsid w:val="2C8263F3"/>
    <w:rsid w:val="2C86DA9F"/>
    <w:rsid w:val="2C8CD051"/>
    <w:rsid w:val="2C8FBE66"/>
    <w:rsid w:val="2CA0BA2D"/>
    <w:rsid w:val="2CA237F1"/>
    <w:rsid w:val="2CA88D03"/>
    <w:rsid w:val="2CADE8C8"/>
    <w:rsid w:val="2CB06E09"/>
    <w:rsid w:val="2CC931BB"/>
    <w:rsid w:val="2CC95DD6"/>
    <w:rsid w:val="2CCE0032"/>
    <w:rsid w:val="2CD7C2A8"/>
    <w:rsid w:val="2CDB963A"/>
    <w:rsid w:val="2CDCD24E"/>
    <w:rsid w:val="2CE815C7"/>
    <w:rsid w:val="2CE968AE"/>
    <w:rsid w:val="2CEBDCAD"/>
    <w:rsid w:val="2CFD3F42"/>
    <w:rsid w:val="2D147F0F"/>
    <w:rsid w:val="2D17A014"/>
    <w:rsid w:val="2D1D1A3F"/>
    <w:rsid w:val="2D24B8B4"/>
    <w:rsid w:val="2D29357E"/>
    <w:rsid w:val="2D2C66E6"/>
    <w:rsid w:val="2D35A376"/>
    <w:rsid w:val="2D4354AC"/>
    <w:rsid w:val="2D45F21E"/>
    <w:rsid w:val="2D47C491"/>
    <w:rsid w:val="2D49DD13"/>
    <w:rsid w:val="2D57170E"/>
    <w:rsid w:val="2D65EE03"/>
    <w:rsid w:val="2D6B99F9"/>
    <w:rsid w:val="2D6E89EC"/>
    <w:rsid w:val="2D724DA7"/>
    <w:rsid w:val="2D7525C6"/>
    <w:rsid w:val="2D80DCF6"/>
    <w:rsid w:val="2D81AB40"/>
    <w:rsid w:val="2D855D9E"/>
    <w:rsid w:val="2D9530F3"/>
    <w:rsid w:val="2DB0DCBD"/>
    <w:rsid w:val="2DB98939"/>
    <w:rsid w:val="2DC85430"/>
    <w:rsid w:val="2DD40096"/>
    <w:rsid w:val="2DEA18AD"/>
    <w:rsid w:val="2DF1FE0E"/>
    <w:rsid w:val="2DFD5FCA"/>
    <w:rsid w:val="2E020C68"/>
    <w:rsid w:val="2E042BDA"/>
    <w:rsid w:val="2E051BB6"/>
    <w:rsid w:val="2E0D816A"/>
    <w:rsid w:val="2E205E3B"/>
    <w:rsid w:val="2E240AE8"/>
    <w:rsid w:val="2E2518AE"/>
    <w:rsid w:val="2E3590BE"/>
    <w:rsid w:val="2E4E4629"/>
    <w:rsid w:val="2E55F48E"/>
    <w:rsid w:val="2E706C52"/>
    <w:rsid w:val="2E75299F"/>
    <w:rsid w:val="2E77BAFE"/>
    <w:rsid w:val="2E815EAC"/>
    <w:rsid w:val="2E8A449B"/>
    <w:rsid w:val="2EA089ED"/>
    <w:rsid w:val="2EA76BF6"/>
    <w:rsid w:val="2EAD5374"/>
    <w:rsid w:val="2EAD884E"/>
    <w:rsid w:val="2ECF42D4"/>
    <w:rsid w:val="2ED12765"/>
    <w:rsid w:val="2ED19B27"/>
    <w:rsid w:val="2ED53B66"/>
    <w:rsid w:val="2ED633E5"/>
    <w:rsid w:val="2EDFA4D7"/>
    <w:rsid w:val="2EE0FE8A"/>
    <w:rsid w:val="2EE19A72"/>
    <w:rsid w:val="2EE19BFF"/>
    <w:rsid w:val="2EEE046B"/>
    <w:rsid w:val="2EF21E7E"/>
    <w:rsid w:val="2F08A546"/>
    <w:rsid w:val="2F0B3D1D"/>
    <w:rsid w:val="2F0DD98A"/>
    <w:rsid w:val="2F0EBF50"/>
    <w:rsid w:val="2F18205B"/>
    <w:rsid w:val="2F1BA51B"/>
    <w:rsid w:val="2F23DFE2"/>
    <w:rsid w:val="2F264A0C"/>
    <w:rsid w:val="2F2BD3F7"/>
    <w:rsid w:val="2F2C72A7"/>
    <w:rsid w:val="2F3EACDF"/>
    <w:rsid w:val="2F469E19"/>
    <w:rsid w:val="2F55D9D7"/>
    <w:rsid w:val="2F61405D"/>
    <w:rsid w:val="2F74B3CC"/>
    <w:rsid w:val="2F7AE770"/>
    <w:rsid w:val="2F80D298"/>
    <w:rsid w:val="2F837A3A"/>
    <w:rsid w:val="2F8B10A8"/>
    <w:rsid w:val="2FB9AFE9"/>
    <w:rsid w:val="2FC627A9"/>
    <w:rsid w:val="2FCE72DB"/>
    <w:rsid w:val="2FD0F420"/>
    <w:rsid w:val="2FD5F871"/>
    <w:rsid w:val="2FE6094A"/>
    <w:rsid w:val="2FF81515"/>
    <w:rsid w:val="2FF8FDD5"/>
    <w:rsid w:val="2FFB6FD9"/>
    <w:rsid w:val="30089ED0"/>
    <w:rsid w:val="3029CD16"/>
    <w:rsid w:val="302E2FC5"/>
    <w:rsid w:val="3045FD89"/>
    <w:rsid w:val="30480CCB"/>
    <w:rsid w:val="3050060A"/>
    <w:rsid w:val="3051FB83"/>
    <w:rsid w:val="30572FF5"/>
    <w:rsid w:val="305AA491"/>
    <w:rsid w:val="305F6929"/>
    <w:rsid w:val="306D3EF9"/>
    <w:rsid w:val="3080E01D"/>
    <w:rsid w:val="309778EB"/>
    <w:rsid w:val="3099DF5E"/>
    <w:rsid w:val="309F3702"/>
    <w:rsid w:val="30A4A17C"/>
    <w:rsid w:val="30B6FA3A"/>
    <w:rsid w:val="30DB2DAF"/>
    <w:rsid w:val="30E5F2BE"/>
    <w:rsid w:val="30EBA646"/>
    <w:rsid w:val="30EF9493"/>
    <w:rsid w:val="310216F7"/>
    <w:rsid w:val="31028410"/>
    <w:rsid w:val="310FB7D3"/>
    <w:rsid w:val="31186011"/>
    <w:rsid w:val="311C16CD"/>
    <w:rsid w:val="3124E1EE"/>
    <w:rsid w:val="3127ECC4"/>
    <w:rsid w:val="31287725"/>
    <w:rsid w:val="313B3BA9"/>
    <w:rsid w:val="313E9BA6"/>
    <w:rsid w:val="313F0F4A"/>
    <w:rsid w:val="3142FCE8"/>
    <w:rsid w:val="3143B546"/>
    <w:rsid w:val="3154646A"/>
    <w:rsid w:val="31576274"/>
    <w:rsid w:val="315DE45E"/>
    <w:rsid w:val="316A0432"/>
    <w:rsid w:val="317CCAD7"/>
    <w:rsid w:val="3188A483"/>
    <w:rsid w:val="318CE94D"/>
    <w:rsid w:val="318D3FF6"/>
    <w:rsid w:val="31948A39"/>
    <w:rsid w:val="319D4E5C"/>
    <w:rsid w:val="31B1E65C"/>
    <w:rsid w:val="31B3EAE0"/>
    <w:rsid w:val="31C35482"/>
    <w:rsid w:val="31D0A47F"/>
    <w:rsid w:val="31D4AB7E"/>
    <w:rsid w:val="31EA2F30"/>
    <w:rsid w:val="31EF88B7"/>
    <w:rsid w:val="31F8A082"/>
    <w:rsid w:val="321CEFC4"/>
    <w:rsid w:val="32203C2E"/>
    <w:rsid w:val="3223E229"/>
    <w:rsid w:val="323D1FF6"/>
    <w:rsid w:val="3244A274"/>
    <w:rsid w:val="324A0F19"/>
    <w:rsid w:val="324F7743"/>
    <w:rsid w:val="32526F55"/>
    <w:rsid w:val="325BF454"/>
    <w:rsid w:val="325C1448"/>
    <w:rsid w:val="32667C4B"/>
    <w:rsid w:val="326DCA48"/>
    <w:rsid w:val="32848D28"/>
    <w:rsid w:val="32890B55"/>
    <w:rsid w:val="329C0F3F"/>
    <w:rsid w:val="32B2D1B2"/>
    <w:rsid w:val="32B56D76"/>
    <w:rsid w:val="32D3D699"/>
    <w:rsid w:val="32D65412"/>
    <w:rsid w:val="32DBA87B"/>
    <w:rsid w:val="32F182EF"/>
    <w:rsid w:val="32F95D91"/>
    <w:rsid w:val="32FE1CE5"/>
    <w:rsid w:val="33082876"/>
    <w:rsid w:val="3310572B"/>
    <w:rsid w:val="3316941D"/>
    <w:rsid w:val="331BA371"/>
    <w:rsid w:val="33216ED9"/>
    <w:rsid w:val="3321748A"/>
    <w:rsid w:val="332338AA"/>
    <w:rsid w:val="33496578"/>
    <w:rsid w:val="33534DA7"/>
    <w:rsid w:val="336551B3"/>
    <w:rsid w:val="33660F01"/>
    <w:rsid w:val="336B2A06"/>
    <w:rsid w:val="33715D3F"/>
    <w:rsid w:val="338F9F26"/>
    <w:rsid w:val="33947728"/>
    <w:rsid w:val="33A78240"/>
    <w:rsid w:val="33A933E5"/>
    <w:rsid w:val="33AACD05"/>
    <w:rsid w:val="33AC91C3"/>
    <w:rsid w:val="33D1EE69"/>
    <w:rsid w:val="33D6900F"/>
    <w:rsid w:val="33E10AA1"/>
    <w:rsid w:val="33E350E2"/>
    <w:rsid w:val="33E8AFE8"/>
    <w:rsid w:val="33F497E5"/>
    <w:rsid w:val="33F56B7F"/>
    <w:rsid w:val="33FF046E"/>
    <w:rsid w:val="340AB057"/>
    <w:rsid w:val="34164A92"/>
    <w:rsid w:val="34186173"/>
    <w:rsid w:val="341DF2F3"/>
    <w:rsid w:val="34234E22"/>
    <w:rsid w:val="342BB517"/>
    <w:rsid w:val="342CEBA2"/>
    <w:rsid w:val="343266E0"/>
    <w:rsid w:val="343B8F09"/>
    <w:rsid w:val="34407D73"/>
    <w:rsid w:val="34415A6F"/>
    <w:rsid w:val="3444382E"/>
    <w:rsid w:val="3448714C"/>
    <w:rsid w:val="344BE8AF"/>
    <w:rsid w:val="344F3650"/>
    <w:rsid w:val="34677575"/>
    <w:rsid w:val="34771854"/>
    <w:rsid w:val="34790C2C"/>
    <w:rsid w:val="3489C11C"/>
    <w:rsid w:val="349987FD"/>
    <w:rsid w:val="34ACC30A"/>
    <w:rsid w:val="34B57CA3"/>
    <w:rsid w:val="34B7A121"/>
    <w:rsid w:val="34C37839"/>
    <w:rsid w:val="34CB7812"/>
    <w:rsid w:val="34E4B506"/>
    <w:rsid w:val="34F254DD"/>
    <w:rsid w:val="3502FD72"/>
    <w:rsid w:val="351E560B"/>
    <w:rsid w:val="35235939"/>
    <w:rsid w:val="3539083A"/>
    <w:rsid w:val="353ED035"/>
    <w:rsid w:val="354CF520"/>
    <w:rsid w:val="354F1A28"/>
    <w:rsid w:val="35502020"/>
    <w:rsid w:val="3553A224"/>
    <w:rsid w:val="3553BADF"/>
    <w:rsid w:val="3560CF6F"/>
    <w:rsid w:val="35674E4F"/>
    <w:rsid w:val="3567621C"/>
    <w:rsid w:val="35687846"/>
    <w:rsid w:val="356C21E0"/>
    <w:rsid w:val="35700A8B"/>
    <w:rsid w:val="35792849"/>
    <w:rsid w:val="357FDDA4"/>
    <w:rsid w:val="3596450F"/>
    <w:rsid w:val="359C26D0"/>
    <w:rsid w:val="35AE5B36"/>
    <w:rsid w:val="35B46D8E"/>
    <w:rsid w:val="35B7A7FA"/>
    <w:rsid w:val="35C94DC8"/>
    <w:rsid w:val="35D4B1EC"/>
    <w:rsid w:val="35D51EDA"/>
    <w:rsid w:val="35D98F53"/>
    <w:rsid w:val="35DA11A0"/>
    <w:rsid w:val="35DD6418"/>
    <w:rsid w:val="35E1C750"/>
    <w:rsid w:val="35E683B5"/>
    <w:rsid w:val="35F67B39"/>
    <w:rsid w:val="35FBCEAA"/>
    <w:rsid w:val="3606F1C7"/>
    <w:rsid w:val="360C7EF9"/>
    <w:rsid w:val="361E50C2"/>
    <w:rsid w:val="362F2CC0"/>
    <w:rsid w:val="36303856"/>
    <w:rsid w:val="3636C702"/>
    <w:rsid w:val="3656B35A"/>
    <w:rsid w:val="3657D3C6"/>
    <w:rsid w:val="36633E34"/>
    <w:rsid w:val="36657436"/>
    <w:rsid w:val="3674D68B"/>
    <w:rsid w:val="367D3D0E"/>
    <w:rsid w:val="3684F19E"/>
    <w:rsid w:val="3685BD66"/>
    <w:rsid w:val="368EF890"/>
    <w:rsid w:val="36910778"/>
    <w:rsid w:val="36983006"/>
    <w:rsid w:val="369A4713"/>
    <w:rsid w:val="369BD83D"/>
    <w:rsid w:val="369E0436"/>
    <w:rsid w:val="36B022A9"/>
    <w:rsid w:val="36BC042E"/>
    <w:rsid w:val="36BD219A"/>
    <w:rsid w:val="36C3A9F0"/>
    <w:rsid w:val="36CAF52F"/>
    <w:rsid w:val="36CDA79F"/>
    <w:rsid w:val="36CF3BC4"/>
    <w:rsid w:val="36D7FED6"/>
    <w:rsid w:val="36E12C9F"/>
    <w:rsid w:val="36EBA066"/>
    <w:rsid w:val="36FABB45"/>
    <w:rsid w:val="36FE224B"/>
    <w:rsid w:val="3704D0CD"/>
    <w:rsid w:val="37182E4E"/>
    <w:rsid w:val="371A0B70"/>
    <w:rsid w:val="371F4435"/>
    <w:rsid w:val="371FB8F6"/>
    <w:rsid w:val="3722808C"/>
    <w:rsid w:val="372BDCE9"/>
    <w:rsid w:val="3733915D"/>
    <w:rsid w:val="373DEC7A"/>
    <w:rsid w:val="3743B18D"/>
    <w:rsid w:val="3744760D"/>
    <w:rsid w:val="37521B7C"/>
    <w:rsid w:val="37552F25"/>
    <w:rsid w:val="37559044"/>
    <w:rsid w:val="3767E757"/>
    <w:rsid w:val="377119F5"/>
    <w:rsid w:val="3775BB54"/>
    <w:rsid w:val="377C00F6"/>
    <w:rsid w:val="3785F9D2"/>
    <w:rsid w:val="378686E2"/>
    <w:rsid w:val="378D0761"/>
    <w:rsid w:val="3792FE73"/>
    <w:rsid w:val="379B2942"/>
    <w:rsid w:val="379EB326"/>
    <w:rsid w:val="37A743DB"/>
    <w:rsid w:val="37B0DB66"/>
    <w:rsid w:val="37BD20DA"/>
    <w:rsid w:val="37C631DE"/>
    <w:rsid w:val="37C652B2"/>
    <w:rsid w:val="37C65AF8"/>
    <w:rsid w:val="37CE16C3"/>
    <w:rsid w:val="37D059F3"/>
    <w:rsid w:val="37EA3228"/>
    <w:rsid w:val="37EF641E"/>
    <w:rsid w:val="37F1496F"/>
    <w:rsid w:val="38022B2E"/>
    <w:rsid w:val="380B1A02"/>
    <w:rsid w:val="38139CAB"/>
    <w:rsid w:val="381EEA57"/>
    <w:rsid w:val="382B4AEE"/>
    <w:rsid w:val="382C2A40"/>
    <w:rsid w:val="3835FAF0"/>
    <w:rsid w:val="383990D7"/>
    <w:rsid w:val="383B7AD5"/>
    <w:rsid w:val="3844294E"/>
    <w:rsid w:val="384B14F4"/>
    <w:rsid w:val="38503C39"/>
    <w:rsid w:val="38607ADD"/>
    <w:rsid w:val="386C2493"/>
    <w:rsid w:val="387673BB"/>
    <w:rsid w:val="387C1E87"/>
    <w:rsid w:val="387D5C0E"/>
    <w:rsid w:val="38A5D70D"/>
    <w:rsid w:val="38A90146"/>
    <w:rsid w:val="38B026BB"/>
    <w:rsid w:val="38B99BC1"/>
    <w:rsid w:val="38BDACF3"/>
    <w:rsid w:val="38C601D9"/>
    <w:rsid w:val="38C7C7D4"/>
    <w:rsid w:val="38C8EF74"/>
    <w:rsid w:val="38CCDA2E"/>
    <w:rsid w:val="38E115EC"/>
    <w:rsid w:val="38E4B56A"/>
    <w:rsid w:val="38EDA5B6"/>
    <w:rsid w:val="38F5756E"/>
    <w:rsid w:val="38FE278F"/>
    <w:rsid w:val="38FFDA99"/>
    <w:rsid w:val="390DCCB9"/>
    <w:rsid w:val="3912193D"/>
    <w:rsid w:val="391A9E7E"/>
    <w:rsid w:val="391B3A99"/>
    <w:rsid w:val="3929CB89"/>
    <w:rsid w:val="392D7A23"/>
    <w:rsid w:val="3936EB8E"/>
    <w:rsid w:val="3948EAC2"/>
    <w:rsid w:val="394D48EF"/>
    <w:rsid w:val="394F926C"/>
    <w:rsid w:val="3950326A"/>
    <w:rsid w:val="39506A6C"/>
    <w:rsid w:val="395ACCEC"/>
    <w:rsid w:val="3960A5FD"/>
    <w:rsid w:val="3967C2EE"/>
    <w:rsid w:val="39771C3C"/>
    <w:rsid w:val="397A3D61"/>
    <w:rsid w:val="39876006"/>
    <w:rsid w:val="399E3202"/>
    <w:rsid w:val="39B14D68"/>
    <w:rsid w:val="39BC717F"/>
    <w:rsid w:val="39CA14C5"/>
    <w:rsid w:val="39DD18F1"/>
    <w:rsid w:val="3A10985C"/>
    <w:rsid w:val="3A1748B7"/>
    <w:rsid w:val="3A19D8A5"/>
    <w:rsid w:val="3A1EEFD2"/>
    <w:rsid w:val="3A25FC8B"/>
    <w:rsid w:val="3A28FAC6"/>
    <w:rsid w:val="3A36EE02"/>
    <w:rsid w:val="3A3C99A1"/>
    <w:rsid w:val="3A4AE0EE"/>
    <w:rsid w:val="3A533ABC"/>
    <w:rsid w:val="3A5592FB"/>
    <w:rsid w:val="3A818D3B"/>
    <w:rsid w:val="3A840E93"/>
    <w:rsid w:val="3A859C6A"/>
    <w:rsid w:val="3A8D38DB"/>
    <w:rsid w:val="3A8EAA08"/>
    <w:rsid w:val="3AC5CB7F"/>
    <w:rsid w:val="3AC9216F"/>
    <w:rsid w:val="3AD0831B"/>
    <w:rsid w:val="3AE034B2"/>
    <w:rsid w:val="3AE0859C"/>
    <w:rsid w:val="3AEBCFD0"/>
    <w:rsid w:val="3AF318C2"/>
    <w:rsid w:val="3AF4AEA4"/>
    <w:rsid w:val="3B02E4E4"/>
    <w:rsid w:val="3B1109F9"/>
    <w:rsid w:val="3B1FC8AE"/>
    <w:rsid w:val="3B22144D"/>
    <w:rsid w:val="3B3AEB53"/>
    <w:rsid w:val="3B3C8F89"/>
    <w:rsid w:val="3B489E80"/>
    <w:rsid w:val="3B4DA402"/>
    <w:rsid w:val="3B4E7CFE"/>
    <w:rsid w:val="3B5094E5"/>
    <w:rsid w:val="3B614718"/>
    <w:rsid w:val="3B63916C"/>
    <w:rsid w:val="3B77E275"/>
    <w:rsid w:val="3B873311"/>
    <w:rsid w:val="3B898285"/>
    <w:rsid w:val="3B90E115"/>
    <w:rsid w:val="3B918AF8"/>
    <w:rsid w:val="3B995D4E"/>
    <w:rsid w:val="3B9D9A13"/>
    <w:rsid w:val="3B9DF654"/>
    <w:rsid w:val="3BA84448"/>
    <w:rsid w:val="3BAD8760"/>
    <w:rsid w:val="3BADFB14"/>
    <w:rsid w:val="3BB28DBC"/>
    <w:rsid w:val="3BB8D159"/>
    <w:rsid w:val="3BC29CE1"/>
    <w:rsid w:val="3BDEE31F"/>
    <w:rsid w:val="3BE6DE18"/>
    <w:rsid w:val="3BEE15E5"/>
    <w:rsid w:val="3BF90C4C"/>
    <w:rsid w:val="3BFD7B1B"/>
    <w:rsid w:val="3C08035F"/>
    <w:rsid w:val="3C09B008"/>
    <w:rsid w:val="3C4054A6"/>
    <w:rsid w:val="3C421604"/>
    <w:rsid w:val="3C467D65"/>
    <w:rsid w:val="3C5B2443"/>
    <w:rsid w:val="3C6AF1E5"/>
    <w:rsid w:val="3C73CEE8"/>
    <w:rsid w:val="3C754514"/>
    <w:rsid w:val="3C7B9244"/>
    <w:rsid w:val="3C8DF610"/>
    <w:rsid w:val="3C993DB4"/>
    <w:rsid w:val="3C9A3894"/>
    <w:rsid w:val="3C9BE79E"/>
    <w:rsid w:val="3C9F96AF"/>
    <w:rsid w:val="3CA641BC"/>
    <w:rsid w:val="3CB9A145"/>
    <w:rsid w:val="3CBBC5B8"/>
    <w:rsid w:val="3CBF67CD"/>
    <w:rsid w:val="3CCF0B6F"/>
    <w:rsid w:val="3CDEB139"/>
    <w:rsid w:val="3CE6F766"/>
    <w:rsid w:val="3CF2FAD7"/>
    <w:rsid w:val="3CF7371C"/>
    <w:rsid w:val="3CF9C560"/>
    <w:rsid w:val="3CFD7D08"/>
    <w:rsid w:val="3CFFCF24"/>
    <w:rsid w:val="3D03B1B5"/>
    <w:rsid w:val="3D04CD40"/>
    <w:rsid w:val="3D126024"/>
    <w:rsid w:val="3D16F596"/>
    <w:rsid w:val="3D21A459"/>
    <w:rsid w:val="3D229C07"/>
    <w:rsid w:val="3D294A4D"/>
    <w:rsid w:val="3D2C4998"/>
    <w:rsid w:val="3D30B2C6"/>
    <w:rsid w:val="3D34C77A"/>
    <w:rsid w:val="3D541B3E"/>
    <w:rsid w:val="3D5628AC"/>
    <w:rsid w:val="3D567BDF"/>
    <w:rsid w:val="3D583F64"/>
    <w:rsid w:val="3D59020A"/>
    <w:rsid w:val="3D8F022E"/>
    <w:rsid w:val="3D9AE2B8"/>
    <w:rsid w:val="3D9B288B"/>
    <w:rsid w:val="3DA484F1"/>
    <w:rsid w:val="3DA6F28B"/>
    <w:rsid w:val="3DB92476"/>
    <w:rsid w:val="3DBDC1B3"/>
    <w:rsid w:val="3DC96875"/>
    <w:rsid w:val="3DD1475B"/>
    <w:rsid w:val="3DE3D5F1"/>
    <w:rsid w:val="3DE6AF66"/>
    <w:rsid w:val="3DEC0EAF"/>
    <w:rsid w:val="3DF65611"/>
    <w:rsid w:val="3E0FD8D8"/>
    <w:rsid w:val="3E122860"/>
    <w:rsid w:val="3E1AEEC7"/>
    <w:rsid w:val="3E1E6BCB"/>
    <w:rsid w:val="3E21A754"/>
    <w:rsid w:val="3E384E27"/>
    <w:rsid w:val="3E39370B"/>
    <w:rsid w:val="3E42E631"/>
    <w:rsid w:val="3E44A047"/>
    <w:rsid w:val="3E474BE2"/>
    <w:rsid w:val="3E4886BA"/>
    <w:rsid w:val="3E499563"/>
    <w:rsid w:val="3E58C3DB"/>
    <w:rsid w:val="3E71C762"/>
    <w:rsid w:val="3E89214C"/>
    <w:rsid w:val="3E89CFC9"/>
    <w:rsid w:val="3E8BDD74"/>
    <w:rsid w:val="3E8C0450"/>
    <w:rsid w:val="3E8CA5E9"/>
    <w:rsid w:val="3E926E4C"/>
    <w:rsid w:val="3EA011F5"/>
    <w:rsid w:val="3EA811C3"/>
    <w:rsid w:val="3EB02B56"/>
    <w:rsid w:val="3EB29405"/>
    <w:rsid w:val="3EB60617"/>
    <w:rsid w:val="3EC3F0F0"/>
    <w:rsid w:val="3EC788F7"/>
    <w:rsid w:val="3EC9A802"/>
    <w:rsid w:val="3EDA47D0"/>
    <w:rsid w:val="3EDDB3A9"/>
    <w:rsid w:val="3EE3672B"/>
    <w:rsid w:val="3EE42602"/>
    <w:rsid w:val="3EE45209"/>
    <w:rsid w:val="3EE47DC2"/>
    <w:rsid w:val="3EF910BC"/>
    <w:rsid w:val="3EFF2A28"/>
    <w:rsid w:val="3F199B6B"/>
    <w:rsid w:val="3F1CD6AE"/>
    <w:rsid w:val="3F217CE2"/>
    <w:rsid w:val="3F2950DF"/>
    <w:rsid w:val="3F387919"/>
    <w:rsid w:val="3F392DD8"/>
    <w:rsid w:val="3F3EEC86"/>
    <w:rsid w:val="3F590FB0"/>
    <w:rsid w:val="3F5E7F66"/>
    <w:rsid w:val="3F6EB811"/>
    <w:rsid w:val="3F7B9F06"/>
    <w:rsid w:val="3F91760E"/>
    <w:rsid w:val="3F94811C"/>
    <w:rsid w:val="3F9BDEA5"/>
    <w:rsid w:val="3FB93810"/>
    <w:rsid w:val="3FC6644B"/>
    <w:rsid w:val="3FE1FD3E"/>
    <w:rsid w:val="3FF5317A"/>
    <w:rsid w:val="3FFF01A0"/>
    <w:rsid w:val="40105843"/>
    <w:rsid w:val="40151E47"/>
    <w:rsid w:val="401A60FA"/>
    <w:rsid w:val="40202434"/>
    <w:rsid w:val="40235060"/>
    <w:rsid w:val="40316957"/>
    <w:rsid w:val="4041E127"/>
    <w:rsid w:val="4052D044"/>
    <w:rsid w:val="4059D6CC"/>
    <w:rsid w:val="406224C3"/>
    <w:rsid w:val="407510DC"/>
    <w:rsid w:val="407E4D43"/>
    <w:rsid w:val="409955FB"/>
    <w:rsid w:val="40AB272A"/>
    <w:rsid w:val="40ABAA48"/>
    <w:rsid w:val="40B81B9A"/>
    <w:rsid w:val="40D14AA8"/>
    <w:rsid w:val="40D1DA91"/>
    <w:rsid w:val="40D2BF75"/>
    <w:rsid w:val="40DB1616"/>
    <w:rsid w:val="40E955EE"/>
    <w:rsid w:val="40EF0E32"/>
    <w:rsid w:val="40FE8E89"/>
    <w:rsid w:val="410526CF"/>
    <w:rsid w:val="41088DFE"/>
    <w:rsid w:val="410BA2D9"/>
    <w:rsid w:val="410D58FA"/>
    <w:rsid w:val="4112E144"/>
    <w:rsid w:val="41188DBB"/>
    <w:rsid w:val="4119ADB5"/>
    <w:rsid w:val="411CEBE3"/>
    <w:rsid w:val="412A3413"/>
    <w:rsid w:val="413119D6"/>
    <w:rsid w:val="41406806"/>
    <w:rsid w:val="41408DBB"/>
    <w:rsid w:val="41460604"/>
    <w:rsid w:val="4157E60E"/>
    <w:rsid w:val="415897DB"/>
    <w:rsid w:val="41603E8D"/>
    <w:rsid w:val="41613C4D"/>
    <w:rsid w:val="416EACB5"/>
    <w:rsid w:val="417A0B4A"/>
    <w:rsid w:val="418A97E7"/>
    <w:rsid w:val="41A3BA37"/>
    <w:rsid w:val="41A713FE"/>
    <w:rsid w:val="41ABFE0F"/>
    <w:rsid w:val="41D3D4CB"/>
    <w:rsid w:val="41F5E985"/>
    <w:rsid w:val="42091DDA"/>
    <w:rsid w:val="42095A80"/>
    <w:rsid w:val="421EE381"/>
    <w:rsid w:val="421F4ED3"/>
    <w:rsid w:val="4220B851"/>
    <w:rsid w:val="422999E7"/>
    <w:rsid w:val="422D7571"/>
    <w:rsid w:val="4235CAE5"/>
    <w:rsid w:val="42367053"/>
    <w:rsid w:val="4237D059"/>
    <w:rsid w:val="423FC349"/>
    <w:rsid w:val="4262C45A"/>
    <w:rsid w:val="42682636"/>
    <w:rsid w:val="426C09A0"/>
    <w:rsid w:val="427C2A78"/>
    <w:rsid w:val="4283249D"/>
    <w:rsid w:val="4286C426"/>
    <w:rsid w:val="4287B52F"/>
    <w:rsid w:val="4294801C"/>
    <w:rsid w:val="42A5559A"/>
    <w:rsid w:val="42A6B3D7"/>
    <w:rsid w:val="42BF93F9"/>
    <w:rsid w:val="42DA3497"/>
    <w:rsid w:val="42DB0E73"/>
    <w:rsid w:val="42E5F6D9"/>
    <w:rsid w:val="42EE8E8B"/>
    <w:rsid w:val="42FB289E"/>
    <w:rsid w:val="42FC5245"/>
    <w:rsid w:val="42FDF716"/>
    <w:rsid w:val="42FFA382"/>
    <w:rsid w:val="430688F0"/>
    <w:rsid w:val="43079C24"/>
    <w:rsid w:val="430CF54A"/>
    <w:rsid w:val="43135A0A"/>
    <w:rsid w:val="43342C03"/>
    <w:rsid w:val="4335ED92"/>
    <w:rsid w:val="4344C815"/>
    <w:rsid w:val="4347A1E5"/>
    <w:rsid w:val="435A2793"/>
    <w:rsid w:val="43701066"/>
    <w:rsid w:val="43763800"/>
    <w:rsid w:val="43869543"/>
    <w:rsid w:val="438C8D2A"/>
    <w:rsid w:val="438E85CE"/>
    <w:rsid w:val="439955E2"/>
    <w:rsid w:val="439CFC76"/>
    <w:rsid w:val="43A9B94E"/>
    <w:rsid w:val="43BA1BA8"/>
    <w:rsid w:val="43D56B30"/>
    <w:rsid w:val="43DA7716"/>
    <w:rsid w:val="43DFD717"/>
    <w:rsid w:val="43E2576D"/>
    <w:rsid w:val="43E68E74"/>
    <w:rsid w:val="440C487E"/>
    <w:rsid w:val="44322CBE"/>
    <w:rsid w:val="4436A764"/>
    <w:rsid w:val="443C0936"/>
    <w:rsid w:val="443EDD01"/>
    <w:rsid w:val="4445040E"/>
    <w:rsid w:val="444F30FC"/>
    <w:rsid w:val="44525C3E"/>
    <w:rsid w:val="44641B50"/>
    <w:rsid w:val="4468FD1D"/>
    <w:rsid w:val="447496C8"/>
    <w:rsid w:val="447B250E"/>
    <w:rsid w:val="44982D0F"/>
    <w:rsid w:val="44A6A806"/>
    <w:rsid w:val="44A95CA3"/>
    <w:rsid w:val="44B4B11E"/>
    <w:rsid w:val="44C135FC"/>
    <w:rsid w:val="44E9B7D8"/>
    <w:rsid w:val="44F720C4"/>
    <w:rsid w:val="44FBE696"/>
    <w:rsid w:val="452A09DF"/>
    <w:rsid w:val="452AD923"/>
    <w:rsid w:val="452B950A"/>
    <w:rsid w:val="453C721A"/>
    <w:rsid w:val="453D25AD"/>
    <w:rsid w:val="4547B4A7"/>
    <w:rsid w:val="45502F65"/>
    <w:rsid w:val="455AC92B"/>
    <w:rsid w:val="4566FE9D"/>
    <w:rsid w:val="456A7396"/>
    <w:rsid w:val="4577E622"/>
    <w:rsid w:val="457F701B"/>
    <w:rsid w:val="4581D555"/>
    <w:rsid w:val="4585F571"/>
    <w:rsid w:val="459D31DA"/>
    <w:rsid w:val="45AAD2E7"/>
    <w:rsid w:val="45C1AD9F"/>
    <w:rsid w:val="45CF6F8D"/>
    <w:rsid w:val="45E3CA62"/>
    <w:rsid w:val="45FAEBA0"/>
    <w:rsid w:val="45FD7FCA"/>
    <w:rsid w:val="461148C0"/>
    <w:rsid w:val="46155497"/>
    <w:rsid w:val="461A413D"/>
    <w:rsid w:val="461B24EF"/>
    <w:rsid w:val="46221725"/>
    <w:rsid w:val="46248EDF"/>
    <w:rsid w:val="46288968"/>
    <w:rsid w:val="463C447E"/>
    <w:rsid w:val="463C6D35"/>
    <w:rsid w:val="463CEE1B"/>
    <w:rsid w:val="46509935"/>
    <w:rsid w:val="467A5D12"/>
    <w:rsid w:val="467FB891"/>
    <w:rsid w:val="4683DE0A"/>
    <w:rsid w:val="46981446"/>
    <w:rsid w:val="4699FEBD"/>
    <w:rsid w:val="46A17214"/>
    <w:rsid w:val="46A490D0"/>
    <w:rsid w:val="46D35359"/>
    <w:rsid w:val="46D5AE2E"/>
    <w:rsid w:val="46D7DD45"/>
    <w:rsid w:val="46D9B7FF"/>
    <w:rsid w:val="46F128C3"/>
    <w:rsid w:val="46F57BEF"/>
    <w:rsid w:val="46F5B602"/>
    <w:rsid w:val="46FD1615"/>
    <w:rsid w:val="4713A37B"/>
    <w:rsid w:val="471C4BBA"/>
    <w:rsid w:val="472C9803"/>
    <w:rsid w:val="4732207E"/>
    <w:rsid w:val="4736FDE6"/>
    <w:rsid w:val="473DCB49"/>
    <w:rsid w:val="4743143A"/>
    <w:rsid w:val="475A78E5"/>
    <w:rsid w:val="47607B5A"/>
    <w:rsid w:val="47649AB2"/>
    <w:rsid w:val="47775553"/>
    <w:rsid w:val="477B38F0"/>
    <w:rsid w:val="478CDC8C"/>
    <w:rsid w:val="4790E6AB"/>
    <w:rsid w:val="4798CA47"/>
    <w:rsid w:val="479A5B5B"/>
    <w:rsid w:val="479DC730"/>
    <w:rsid w:val="47BD319E"/>
    <w:rsid w:val="47BDC47F"/>
    <w:rsid w:val="47C78CE7"/>
    <w:rsid w:val="47D53255"/>
    <w:rsid w:val="47DF2585"/>
    <w:rsid w:val="47E2834D"/>
    <w:rsid w:val="47E46360"/>
    <w:rsid w:val="47E84695"/>
    <w:rsid w:val="47F1D1B5"/>
    <w:rsid w:val="47FB17B1"/>
    <w:rsid w:val="48086D5F"/>
    <w:rsid w:val="48137981"/>
    <w:rsid w:val="481D61FA"/>
    <w:rsid w:val="483054A8"/>
    <w:rsid w:val="48330DB3"/>
    <w:rsid w:val="48392F65"/>
    <w:rsid w:val="4859BDC2"/>
    <w:rsid w:val="48644CED"/>
    <w:rsid w:val="4885A2BB"/>
    <w:rsid w:val="48876DEE"/>
    <w:rsid w:val="488CB727"/>
    <w:rsid w:val="489358F8"/>
    <w:rsid w:val="48A98584"/>
    <w:rsid w:val="48ACC252"/>
    <w:rsid w:val="48D357A4"/>
    <w:rsid w:val="48D69FDB"/>
    <w:rsid w:val="48E5DAB0"/>
    <w:rsid w:val="48EFA4B7"/>
    <w:rsid w:val="48F20D6A"/>
    <w:rsid w:val="48F691ED"/>
    <w:rsid w:val="49093BCA"/>
    <w:rsid w:val="491CBA9E"/>
    <w:rsid w:val="4922C82C"/>
    <w:rsid w:val="494D8533"/>
    <w:rsid w:val="494F0668"/>
    <w:rsid w:val="4955D424"/>
    <w:rsid w:val="4956F5E8"/>
    <w:rsid w:val="495AF6D3"/>
    <w:rsid w:val="495EA1C6"/>
    <w:rsid w:val="495EBE37"/>
    <w:rsid w:val="49632603"/>
    <w:rsid w:val="49655F87"/>
    <w:rsid w:val="496D9B9B"/>
    <w:rsid w:val="496EA31F"/>
    <w:rsid w:val="497569D9"/>
    <w:rsid w:val="49799655"/>
    <w:rsid w:val="497B8B7A"/>
    <w:rsid w:val="4980EFB8"/>
    <w:rsid w:val="49858552"/>
    <w:rsid w:val="499C6F9A"/>
    <w:rsid w:val="49AA1EBB"/>
    <w:rsid w:val="49C851DB"/>
    <w:rsid w:val="49C89DE5"/>
    <w:rsid w:val="49CAEC46"/>
    <w:rsid w:val="49CBE207"/>
    <w:rsid w:val="49CDAF04"/>
    <w:rsid w:val="49DC3CAF"/>
    <w:rsid w:val="49E17502"/>
    <w:rsid w:val="49E448CA"/>
    <w:rsid w:val="49E4A6E7"/>
    <w:rsid w:val="49E95685"/>
    <w:rsid w:val="49EB2722"/>
    <w:rsid w:val="49EC1066"/>
    <w:rsid w:val="49F31A01"/>
    <w:rsid w:val="4A0C0079"/>
    <w:rsid w:val="4A146825"/>
    <w:rsid w:val="4A1760D7"/>
    <w:rsid w:val="4A2167F1"/>
    <w:rsid w:val="4A275B6D"/>
    <w:rsid w:val="4A2B228D"/>
    <w:rsid w:val="4A310651"/>
    <w:rsid w:val="4A4D84C4"/>
    <w:rsid w:val="4A5E23C8"/>
    <w:rsid w:val="4A89C6DD"/>
    <w:rsid w:val="4A8FD869"/>
    <w:rsid w:val="4A918210"/>
    <w:rsid w:val="4AA154F1"/>
    <w:rsid w:val="4AA380BC"/>
    <w:rsid w:val="4ADA58A0"/>
    <w:rsid w:val="4AE1DD29"/>
    <w:rsid w:val="4AE5466B"/>
    <w:rsid w:val="4B195C68"/>
    <w:rsid w:val="4B1990CA"/>
    <w:rsid w:val="4B21EDE3"/>
    <w:rsid w:val="4B294385"/>
    <w:rsid w:val="4B401C70"/>
    <w:rsid w:val="4B4D8C19"/>
    <w:rsid w:val="4B504E36"/>
    <w:rsid w:val="4B5D76FE"/>
    <w:rsid w:val="4B61D388"/>
    <w:rsid w:val="4B633C1D"/>
    <w:rsid w:val="4B6B6BF6"/>
    <w:rsid w:val="4B751BC4"/>
    <w:rsid w:val="4B76391B"/>
    <w:rsid w:val="4B76DCF8"/>
    <w:rsid w:val="4B83872A"/>
    <w:rsid w:val="4B85227C"/>
    <w:rsid w:val="4B85AF98"/>
    <w:rsid w:val="4B8F70BF"/>
    <w:rsid w:val="4B93FE93"/>
    <w:rsid w:val="4B95CB99"/>
    <w:rsid w:val="4B9793D8"/>
    <w:rsid w:val="4BA0D53C"/>
    <w:rsid w:val="4BA6427B"/>
    <w:rsid w:val="4BA6F639"/>
    <w:rsid w:val="4BBDAEAE"/>
    <w:rsid w:val="4BBDE9C7"/>
    <w:rsid w:val="4BCB0038"/>
    <w:rsid w:val="4BDCD2F5"/>
    <w:rsid w:val="4BF429AB"/>
    <w:rsid w:val="4BF5CEAA"/>
    <w:rsid w:val="4C019686"/>
    <w:rsid w:val="4C0B1993"/>
    <w:rsid w:val="4C0B9194"/>
    <w:rsid w:val="4C1E30C6"/>
    <w:rsid w:val="4C3071FB"/>
    <w:rsid w:val="4C43CABD"/>
    <w:rsid w:val="4C49F3C3"/>
    <w:rsid w:val="4C4CC43C"/>
    <w:rsid w:val="4C53FF5D"/>
    <w:rsid w:val="4C62BD3A"/>
    <w:rsid w:val="4C72BD6B"/>
    <w:rsid w:val="4C7B7AF8"/>
    <w:rsid w:val="4C9AF119"/>
    <w:rsid w:val="4C9D1A78"/>
    <w:rsid w:val="4CABEDF3"/>
    <w:rsid w:val="4CB07B83"/>
    <w:rsid w:val="4CC50EF8"/>
    <w:rsid w:val="4CD08710"/>
    <w:rsid w:val="4CDCD4BB"/>
    <w:rsid w:val="4CDF70EE"/>
    <w:rsid w:val="4CE3A4AC"/>
    <w:rsid w:val="4CED4807"/>
    <w:rsid w:val="4CEEA72F"/>
    <w:rsid w:val="4D28A08C"/>
    <w:rsid w:val="4D368BE8"/>
    <w:rsid w:val="4D3B5A68"/>
    <w:rsid w:val="4D50CDE1"/>
    <w:rsid w:val="4D59B5B0"/>
    <w:rsid w:val="4D6ACE7D"/>
    <w:rsid w:val="4D6C1DAE"/>
    <w:rsid w:val="4D7CA391"/>
    <w:rsid w:val="4D830F9E"/>
    <w:rsid w:val="4D95C68A"/>
    <w:rsid w:val="4D9B596C"/>
    <w:rsid w:val="4D9C6A5D"/>
    <w:rsid w:val="4DA48B8E"/>
    <w:rsid w:val="4DA99772"/>
    <w:rsid w:val="4DB81D88"/>
    <w:rsid w:val="4DBD5E46"/>
    <w:rsid w:val="4DC4B161"/>
    <w:rsid w:val="4DE277CC"/>
    <w:rsid w:val="4DE50212"/>
    <w:rsid w:val="4E020030"/>
    <w:rsid w:val="4E027954"/>
    <w:rsid w:val="4E0AA7DD"/>
    <w:rsid w:val="4E1E92F0"/>
    <w:rsid w:val="4E23BD34"/>
    <w:rsid w:val="4E3F1A78"/>
    <w:rsid w:val="4E4C3B7D"/>
    <w:rsid w:val="4E4F44D0"/>
    <w:rsid w:val="4E4FA756"/>
    <w:rsid w:val="4E715498"/>
    <w:rsid w:val="4E7D499D"/>
    <w:rsid w:val="4E8C0327"/>
    <w:rsid w:val="4E8F6865"/>
    <w:rsid w:val="4EAC3849"/>
    <w:rsid w:val="4EAEADE6"/>
    <w:rsid w:val="4EB2183B"/>
    <w:rsid w:val="4EBBB39D"/>
    <w:rsid w:val="4EBCC6ED"/>
    <w:rsid w:val="4EC04A0F"/>
    <w:rsid w:val="4ECA3C7F"/>
    <w:rsid w:val="4ECAEF6B"/>
    <w:rsid w:val="4ECD5E13"/>
    <w:rsid w:val="4EF5CA8F"/>
    <w:rsid w:val="4F0F96F4"/>
    <w:rsid w:val="4F152143"/>
    <w:rsid w:val="4F155C63"/>
    <w:rsid w:val="4F1DFC55"/>
    <w:rsid w:val="4F25B282"/>
    <w:rsid w:val="4F2A6042"/>
    <w:rsid w:val="4F2BE738"/>
    <w:rsid w:val="4F2D9901"/>
    <w:rsid w:val="4F30B5B8"/>
    <w:rsid w:val="4F39D300"/>
    <w:rsid w:val="4F44725A"/>
    <w:rsid w:val="4F5B8E72"/>
    <w:rsid w:val="4F6A6476"/>
    <w:rsid w:val="4F7D6FEC"/>
    <w:rsid w:val="4F80FE3C"/>
    <w:rsid w:val="4F8C0634"/>
    <w:rsid w:val="4F967F94"/>
    <w:rsid w:val="4F9BC8EE"/>
    <w:rsid w:val="4FA4812B"/>
    <w:rsid w:val="4FACE541"/>
    <w:rsid w:val="4FB7F5C0"/>
    <w:rsid w:val="4FBB7F05"/>
    <w:rsid w:val="4FC0A6D7"/>
    <w:rsid w:val="4FCC43ED"/>
    <w:rsid w:val="4FCFAE8E"/>
    <w:rsid w:val="4FD0124A"/>
    <w:rsid w:val="4FE4959E"/>
    <w:rsid w:val="4FE57662"/>
    <w:rsid w:val="4FE7536D"/>
    <w:rsid w:val="4FE7D60C"/>
    <w:rsid w:val="4FFC7613"/>
    <w:rsid w:val="50029B3C"/>
    <w:rsid w:val="500B5132"/>
    <w:rsid w:val="50215A84"/>
    <w:rsid w:val="502251A9"/>
    <w:rsid w:val="503557C3"/>
    <w:rsid w:val="5035A25B"/>
    <w:rsid w:val="503A00B3"/>
    <w:rsid w:val="5068F49C"/>
    <w:rsid w:val="506D78F0"/>
    <w:rsid w:val="508252CC"/>
    <w:rsid w:val="50950182"/>
    <w:rsid w:val="5099328C"/>
    <w:rsid w:val="50993920"/>
    <w:rsid w:val="509A3BE0"/>
    <w:rsid w:val="509EFD8E"/>
    <w:rsid w:val="50A64D01"/>
    <w:rsid w:val="50A69D56"/>
    <w:rsid w:val="50AA1356"/>
    <w:rsid w:val="50BDCEA3"/>
    <w:rsid w:val="50BF9C41"/>
    <w:rsid w:val="50C06D09"/>
    <w:rsid w:val="50F381AF"/>
    <w:rsid w:val="50F81C8D"/>
    <w:rsid w:val="50FD5B56"/>
    <w:rsid w:val="51088384"/>
    <w:rsid w:val="51166EE1"/>
    <w:rsid w:val="511FBE6B"/>
    <w:rsid w:val="512F9B87"/>
    <w:rsid w:val="513300FE"/>
    <w:rsid w:val="513805B8"/>
    <w:rsid w:val="51451B85"/>
    <w:rsid w:val="5146A57A"/>
    <w:rsid w:val="514DB00F"/>
    <w:rsid w:val="515334AC"/>
    <w:rsid w:val="5153C1EB"/>
    <w:rsid w:val="5167050E"/>
    <w:rsid w:val="517C3351"/>
    <w:rsid w:val="51833CA4"/>
    <w:rsid w:val="519A0D6B"/>
    <w:rsid w:val="519DD0B9"/>
    <w:rsid w:val="51A09B96"/>
    <w:rsid w:val="51B1989B"/>
    <w:rsid w:val="51B1DFD1"/>
    <w:rsid w:val="51D5B6D1"/>
    <w:rsid w:val="51D6706F"/>
    <w:rsid w:val="51DA16E4"/>
    <w:rsid w:val="51E66B08"/>
    <w:rsid w:val="52094610"/>
    <w:rsid w:val="52193D8B"/>
    <w:rsid w:val="521B9529"/>
    <w:rsid w:val="521D223E"/>
    <w:rsid w:val="522E7113"/>
    <w:rsid w:val="523217EC"/>
    <w:rsid w:val="523B23D5"/>
    <w:rsid w:val="52443D21"/>
    <w:rsid w:val="52579DAD"/>
    <w:rsid w:val="5260DC7A"/>
    <w:rsid w:val="52637A21"/>
    <w:rsid w:val="5264EC67"/>
    <w:rsid w:val="52811E7B"/>
    <w:rsid w:val="52A1F4B2"/>
    <w:rsid w:val="52B787F7"/>
    <w:rsid w:val="52B9846F"/>
    <w:rsid w:val="52BD226A"/>
    <w:rsid w:val="52C43A64"/>
    <w:rsid w:val="52D0EB08"/>
    <w:rsid w:val="52D2691E"/>
    <w:rsid w:val="52F1862A"/>
    <w:rsid w:val="52FB1137"/>
    <w:rsid w:val="5307FBBC"/>
    <w:rsid w:val="5309975A"/>
    <w:rsid w:val="5309DBDE"/>
    <w:rsid w:val="530B601D"/>
    <w:rsid w:val="530E03DB"/>
    <w:rsid w:val="5318A2A1"/>
    <w:rsid w:val="531CE798"/>
    <w:rsid w:val="533DEDCB"/>
    <w:rsid w:val="534A7755"/>
    <w:rsid w:val="534D511D"/>
    <w:rsid w:val="53645645"/>
    <w:rsid w:val="5378E11C"/>
    <w:rsid w:val="537C3C81"/>
    <w:rsid w:val="5397DBBD"/>
    <w:rsid w:val="539AA34B"/>
    <w:rsid w:val="53A0ED73"/>
    <w:rsid w:val="53AD55FF"/>
    <w:rsid w:val="53B502E6"/>
    <w:rsid w:val="53BD96EC"/>
    <w:rsid w:val="53CCBD53"/>
    <w:rsid w:val="53F26D1D"/>
    <w:rsid w:val="540C6AAB"/>
    <w:rsid w:val="540F306F"/>
    <w:rsid w:val="541A393D"/>
    <w:rsid w:val="54235DF5"/>
    <w:rsid w:val="542F7F6B"/>
    <w:rsid w:val="54360941"/>
    <w:rsid w:val="543666BE"/>
    <w:rsid w:val="5438AE5F"/>
    <w:rsid w:val="5442DEEB"/>
    <w:rsid w:val="54470F45"/>
    <w:rsid w:val="54484386"/>
    <w:rsid w:val="547FDB4E"/>
    <w:rsid w:val="54894088"/>
    <w:rsid w:val="548CF969"/>
    <w:rsid w:val="5495A60B"/>
    <w:rsid w:val="54B0EE3E"/>
    <w:rsid w:val="54B5D9DE"/>
    <w:rsid w:val="54BD86E9"/>
    <w:rsid w:val="54CA5FEF"/>
    <w:rsid w:val="5502801E"/>
    <w:rsid w:val="551703DA"/>
    <w:rsid w:val="551F6E33"/>
    <w:rsid w:val="5526E2FD"/>
    <w:rsid w:val="553B5455"/>
    <w:rsid w:val="554AB42F"/>
    <w:rsid w:val="554C2660"/>
    <w:rsid w:val="5569B493"/>
    <w:rsid w:val="556D4C33"/>
    <w:rsid w:val="556E3662"/>
    <w:rsid w:val="557302B3"/>
    <w:rsid w:val="5573AC56"/>
    <w:rsid w:val="557C3857"/>
    <w:rsid w:val="5587282A"/>
    <w:rsid w:val="558D3906"/>
    <w:rsid w:val="55918B98"/>
    <w:rsid w:val="55A0054F"/>
    <w:rsid w:val="55A828EC"/>
    <w:rsid w:val="55AE90B5"/>
    <w:rsid w:val="55AF10CB"/>
    <w:rsid w:val="55AF4922"/>
    <w:rsid w:val="55B0361C"/>
    <w:rsid w:val="55B4EF0C"/>
    <w:rsid w:val="55C2726C"/>
    <w:rsid w:val="55CBF840"/>
    <w:rsid w:val="55D7F813"/>
    <w:rsid w:val="55DD0B0D"/>
    <w:rsid w:val="55E57DA7"/>
    <w:rsid w:val="55E5C131"/>
    <w:rsid w:val="55F09761"/>
    <w:rsid w:val="55FFDA30"/>
    <w:rsid w:val="5604BCCA"/>
    <w:rsid w:val="5609FFFD"/>
    <w:rsid w:val="560C3190"/>
    <w:rsid w:val="560E41B6"/>
    <w:rsid w:val="561108CE"/>
    <w:rsid w:val="56153CB2"/>
    <w:rsid w:val="561642F3"/>
    <w:rsid w:val="564D29B2"/>
    <w:rsid w:val="564D7210"/>
    <w:rsid w:val="564FA35F"/>
    <w:rsid w:val="565D9CE1"/>
    <w:rsid w:val="566BC7F0"/>
    <w:rsid w:val="566F455B"/>
    <w:rsid w:val="5675658E"/>
    <w:rsid w:val="5675AA72"/>
    <w:rsid w:val="5676DC22"/>
    <w:rsid w:val="5677456A"/>
    <w:rsid w:val="56783F44"/>
    <w:rsid w:val="56834128"/>
    <w:rsid w:val="569FC21C"/>
    <w:rsid w:val="56AA76B7"/>
    <w:rsid w:val="56ACD946"/>
    <w:rsid w:val="56AF2177"/>
    <w:rsid w:val="56B53804"/>
    <w:rsid w:val="56BE5DBA"/>
    <w:rsid w:val="56D1DC91"/>
    <w:rsid w:val="56DBA71A"/>
    <w:rsid w:val="56E2B844"/>
    <w:rsid w:val="56F909FE"/>
    <w:rsid w:val="56F97231"/>
    <w:rsid w:val="570317FB"/>
    <w:rsid w:val="571E0056"/>
    <w:rsid w:val="572824D2"/>
    <w:rsid w:val="572E9F4E"/>
    <w:rsid w:val="574D6A95"/>
    <w:rsid w:val="574FCE90"/>
    <w:rsid w:val="57503CDF"/>
    <w:rsid w:val="576AD431"/>
    <w:rsid w:val="578366BC"/>
    <w:rsid w:val="5785A1DE"/>
    <w:rsid w:val="5796389B"/>
    <w:rsid w:val="57A2522C"/>
    <w:rsid w:val="57C07362"/>
    <w:rsid w:val="57D5A7FA"/>
    <w:rsid w:val="57DB4DAD"/>
    <w:rsid w:val="57E6AB2B"/>
    <w:rsid w:val="57E7D803"/>
    <w:rsid w:val="58118F3C"/>
    <w:rsid w:val="5812898B"/>
    <w:rsid w:val="58146045"/>
    <w:rsid w:val="581908A6"/>
    <w:rsid w:val="581DDA8C"/>
    <w:rsid w:val="5827F269"/>
    <w:rsid w:val="5833231D"/>
    <w:rsid w:val="5839C852"/>
    <w:rsid w:val="584C98E1"/>
    <w:rsid w:val="584EB3DB"/>
    <w:rsid w:val="58519CDC"/>
    <w:rsid w:val="586584E9"/>
    <w:rsid w:val="58711849"/>
    <w:rsid w:val="5877E2B3"/>
    <w:rsid w:val="587CEF5C"/>
    <w:rsid w:val="588252B1"/>
    <w:rsid w:val="588A6311"/>
    <w:rsid w:val="588EE7DC"/>
    <w:rsid w:val="5893DC12"/>
    <w:rsid w:val="589EF3FE"/>
    <w:rsid w:val="58A7E116"/>
    <w:rsid w:val="58AB3037"/>
    <w:rsid w:val="58C7490F"/>
    <w:rsid w:val="58C977AE"/>
    <w:rsid w:val="58CBCE72"/>
    <w:rsid w:val="58E0C370"/>
    <w:rsid w:val="58EF50D9"/>
    <w:rsid w:val="58F4E109"/>
    <w:rsid w:val="58FA3C8D"/>
    <w:rsid w:val="5907CF2E"/>
    <w:rsid w:val="5911CA50"/>
    <w:rsid w:val="59170FC8"/>
    <w:rsid w:val="59182D1B"/>
    <w:rsid w:val="591E684E"/>
    <w:rsid w:val="59280858"/>
    <w:rsid w:val="59373642"/>
    <w:rsid w:val="593F970E"/>
    <w:rsid w:val="594C51A3"/>
    <w:rsid w:val="5977E16E"/>
    <w:rsid w:val="59803AB1"/>
    <w:rsid w:val="59964375"/>
    <w:rsid w:val="599B0AC9"/>
    <w:rsid w:val="59A0E164"/>
    <w:rsid w:val="59A56BD7"/>
    <w:rsid w:val="59A944A3"/>
    <w:rsid w:val="59B34B9C"/>
    <w:rsid w:val="59C75B55"/>
    <w:rsid w:val="59CA43D2"/>
    <w:rsid w:val="59CADD1F"/>
    <w:rsid w:val="59CD30E3"/>
    <w:rsid w:val="59D2371B"/>
    <w:rsid w:val="59E50166"/>
    <w:rsid w:val="59FD1F24"/>
    <w:rsid w:val="59FF7605"/>
    <w:rsid w:val="5A14A517"/>
    <w:rsid w:val="5A297290"/>
    <w:rsid w:val="5A2BF410"/>
    <w:rsid w:val="5A3406B5"/>
    <w:rsid w:val="5A35D755"/>
    <w:rsid w:val="5A37091F"/>
    <w:rsid w:val="5A437D29"/>
    <w:rsid w:val="5A45C193"/>
    <w:rsid w:val="5A45FDC4"/>
    <w:rsid w:val="5A50C0D7"/>
    <w:rsid w:val="5A562DEB"/>
    <w:rsid w:val="5A6876E8"/>
    <w:rsid w:val="5A6F0A8B"/>
    <w:rsid w:val="5A79A3F5"/>
    <w:rsid w:val="5A7DC478"/>
    <w:rsid w:val="5A8DDB3B"/>
    <w:rsid w:val="5A8DE803"/>
    <w:rsid w:val="5A8E1D30"/>
    <w:rsid w:val="5A90D297"/>
    <w:rsid w:val="5A912C1D"/>
    <w:rsid w:val="5AB1D185"/>
    <w:rsid w:val="5AB8D9B7"/>
    <w:rsid w:val="5ABD0926"/>
    <w:rsid w:val="5AC79B04"/>
    <w:rsid w:val="5AC7A9F7"/>
    <w:rsid w:val="5AD459D5"/>
    <w:rsid w:val="5B081117"/>
    <w:rsid w:val="5B1299F6"/>
    <w:rsid w:val="5B1B6F4A"/>
    <w:rsid w:val="5B1D7D99"/>
    <w:rsid w:val="5B1F28E6"/>
    <w:rsid w:val="5B4E5567"/>
    <w:rsid w:val="5B560A79"/>
    <w:rsid w:val="5B56F73B"/>
    <w:rsid w:val="5B5ED840"/>
    <w:rsid w:val="5B691BB5"/>
    <w:rsid w:val="5B7809B8"/>
    <w:rsid w:val="5B7CEDF7"/>
    <w:rsid w:val="5B8193EF"/>
    <w:rsid w:val="5B81E620"/>
    <w:rsid w:val="5B82D059"/>
    <w:rsid w:val="5B82F866"/>
    <w:rsid w:val="5B8782A1"/>
    <w:rsid w:val="5B89A67C"/>
    <w:rsid w:val="5B94903E"/>
    <w:rsid w:val="5BA4534F"/>
    <w:rsid w:val="5BA74A69"/>
    <w:rsid w:val="5BA8A274"/>
    <w:rsid w:val="5BAEAB4B"/>
    <w:rsid w:val="5BBCC44D"/>
    <w:rsid w:val="5BC3B4B6"/>
    <w:rsid w:val="5BD59F68"/>
    <w:rsid w:val="5BD9616F"/>
    <w:rsid w:val="5BE5D058"/>
    <w:rsid w:val="5C01CFDD"/>
    <w:rsid w:val="5C049C3E"/>
    <w:rsid w:val="5C077897"/>
    <w:rsid w:val="5C087129"/>
    <w:rsid w:val="5C1CCD2F"/>
    <w:rsid w:val="5C255462"/>
    <w:rsid w:val="5C26339D"/>
    <w:rsid w:val="5C26FE7C"/>
    <w:rsid w:val="5C2B0E56"/>
    <w:rsid w:val="5C2F8AA9"/>
    <w:rsid w:val="5C30369D"/>
    <w:rsid w:val="5C3D2594"/>
    <w:rsid w:val="5C3E7A86"/>
    <w:rsid w:val="5C414D2A"/>
    <w:rsid w:val="5C44E010"/>
    <w:rsid w:val="5C477CBE"/>
    <w:rsid w:val="5C530BD9"/>
    <w:rsid w:val="5C558D14"/>
    <w:rsid w:val="5C5AFC35"/>
    <w:rsid w:val="5C627598"/>
    <w:rsid w:val="5C689780"/>
    <w:rsid w:val="5C7569F0"/>
    <w:rsid w:val="5C7BBE25"/>
    <w:rsid w:val="5C7C8873"/>
    <w:rsid w:val="5C85DA0E"/>
    <w:rsid w:val="5C95C8EC"/>
    <w:rsid w:val="5C9A24F8"/>
    <w:rsid w:val="5CA41A17"/>
    <w:rsid w:val="5CB4EEB5"/>
    <w:rsid w:val="5CB7DD04"/>
    <w:rsid w:val="5CBAD3F6"/>
    <w:rsid w:val="5CD2CC92"/>
    <w:rsid w:val="5CD6573D"/>
    <w:rsid w:val="5CDB31D2"/>
    <w:rsid w:val="5CDCB43A"/>
    <w:rsid w:val="5CDDB358"/>
    <w:rsid w:val="5CE994B8"/>
    <w:rsid w:val="5CF01E91"/>
    <w:rsid w:val="5CF04AD4"/>
    <w:rsid w:val="5CFCDDDC"/>
    <w:rsid w:val="5D079A50"/>
    <w:rsid w:val="5D1DF200"/>
    <w:rsid w:val="5D1F9197"/>
    <w:rsid w:val="5D2175B2"/>
    <w:rsid w:val="5D2DC627"/>
    <w:rsid w:val="5D2EB644"/>
    <w:rsid w:val="5D31CA27"/>
    <w:rsid w:val="5D3C118E"/>
    <w:rsid w:val="5D42EC08"/>
    <w:rsid w:val="5D473078"/>
    <w:rsid w:val="5D560BDF"/>
    <w:rsid w:val="5D5FB8D8"/>
    <w:rsid w:val="5D7E2E01"/>
    <w:rsid w:val="5D85D06F"/>
    <w:rsid w:val="5D8DC53B"/>
    <w:rsid w:val="5D91E608"/>
    <w:rsid w:val="5D958099"/>
    <w:rsid w:val="5D96F241"/>
    <w:rsid w:val="5D9BD93F"/>
    <w:rsid w:val="5DA14C67"/>
    <w:rsid w:val="5DA2A8B5"/>
    <w:rsid w:val="5DAADECA"/>
    <w:rsid w:val="5DACE726"/>
    <w:rsid w:val="5DB12622"/>
    <w:rsid w:val="5DB4FC59"/>
    <w:rsid w:val="5DCA6BF7"/>
    <w:rsid w:val="5DCCA495"/>
    <w:rsid w:val="5DDC023F"/>
    <w:rsid w:val="5DDDCFFA"/>
    <w:rsid w:val="5DE72E70"/>
    <w:rsid w:val="5DE86363"/>
    <w:rsid w:val="5DEB0BA0"/>
    <w:rsid w:val="5DF276CE"/>
    <w:rsid w:val="5DF430CC"/>
    <w:rsid w:val="5DF95280"/>
    <w:rsid w:val="5E131AC4"/>
    <w:rsid w:val="5E14AAE3"/>
    <w:rsid w:val="5E156A84"/>
    <w:rsid w:val="5E2C493B"/>
    <w:rsid w:val="5E332693"/>
    <w:rsid w:val="5E37C761"/>
    <w:rsid w:val="5E3B1D67"/>
    <w:rsid w:val="5E3ED218"/>
    <w:rsid w:val="5E454B3E"/>
    <w:rsid w:val="5E469A45"/>
    <w:rsid w:val="5E56C200"/>
    <w:rsid w:val="5E5F52CC"/>
    <w:rsid w:val="5E60989A"/>
    <w:rsid w:val="5E690A44"/>
    <w:rsid w:val="5E72D028"/>
    <w:rsid w:val="5E77B138"/>
    <w:rsid w:val="5E8005F7"/>
    <w:rsid w:val="5E8C8708"/>
    <w:rsid w:val="5E930AF9"/>
    <w:rsid w:val="5EA8D94C"/>
    <w:rsid w:val="5EBD5855"/>
    <w:rsid w:val="5EC90260"/>
    <w:rsid w:val="5ECE09CF"/>
    <w:rsid w:val="5ED7172F"/>
    <w:rsid w:val="5F024246"/>
    <w:rsid w:val="5F037F04"/>
    <w:rsid w:val="5F09B2E4"/>
    <w:rsid w:val="5F0E02EA"/>
    <w:rsid w:val="5F1B4674"/>
    <w:rsid w:val="5F21C873"/>
    <w:rsid w:val="5F2FC6E1"/>
    <w:rsid w:val="5F3C8BCD"/>
    <w:rsid w:val="5F44F657"/>
    <w:rsid w:val="5F4515F3"/>
    <w:rsid w:val="5F4BFE19"/>
    <w:rsid w:val="5F52F05B"/>
    <w:rsid w:val="5F59092A"/>
    <w:rsid w:val="5F71BB28"/>
    <w:rsid w:val="5F7EF33E"/>
    <w:rsid w:val="5F86B332"/>
    <w:rsid w:val="5FA4ADAA"/>
    <w:rsid w:val="5FBE04A1"/>
    <w:rsid w:val="5FD32507"/>
    <w:rsid w:val="5FDAEFB3"/>
    <w:rsid w:val="60018B51"/>
    <w:rsid w:val="600914E1"/>
    <w:rsid w:val="600A7D10"/>
    <w:rsid w:val="60120577"/>
    <w:rsid w:val="602C8276"/>
    <w:rsid w:val="6044098F"/>
    <w:rsid w:val="6046C3A4"/>
    <w:rsid w:val="6049A20A"/>
    <w:rsid w:val="604C20C6"/>
    <w:rsid w:val="60733405"/>
    <w:rsid w:val="60850A74"/>
    <w:rsid w:val="6086B6B0"/>
    <w:rsid w:val="609D6DAC"/>
    <w:rsid w:val="60AC9F76"/>
    <w:rsid w:val="60B0C1CE"/>
    <w:rsid w:val="60B72E2D"/>
    <w:rsid w:val="60BC4CA4"/>
    <w:rsid w:val="60C2AFA9"/>
    <w:rsid w:val="60DA7D6B"/>
    <w:rsid w:val="60DADB1B"/>
    <w:rsid w:val="60ECEDAF"/>
    <w:rsid w:val="60F580CA"/>
    <w:rsid w:val="60FBF9AA"/>
    <w:rsid w:val="60FDF4D4"/>
    <w:rsid w:val="610928BE"/>
    <w:rsid w:val="6121CFFC"/>
    <w:rsid w:val="612714DA"/>
    <w:rsid w:val="612A692F"/>
    <w:rsid w:val="613319E4"/>
    <w:rsid w:val="61371147"/>
    <w:rsid w:val="614992D5"/>
    <w:rsid w:val="6150D2F6"/>
    <w:rsid w:val="6155F59F"/>
    <w:rsid w:val="615713C6"/>
    <w:rsid w:val="615D3320"/>
    <w:rsid w:val="6166C207"/>
    <w:rsid w:val="616FF843"/>
    <w:rsid w:val="6175F156"/>
    <w:rsid w:val="61796F2C"/>
    <w:rsid w:val="617A3967"/>
    <w:rsid w:val="6180F37C"/>
    <w:rsid w:val="6181CE81"/>
    <w:rsid w:val="6182F00F"/>
    <w:rsid w:val="6183ACB5"/>
    <w:rsid w:val="6191DEF7"/>
    <w:rsid w:val="61949838"/>
    <w:rsid w:val="61A3B064"/>
    <w:rsid w:val="61A96A62"/>
    <w:rsid w:val="61B15CEE"/>
    <w:rsid w:val="61B2B60A"/>
    <w:rsid w:val="61C1FCCB"/>
    <w:rsid w:val="61C8FEBA"/>
    <w:rsid w:val="61CB13E7"/>
    <w:rsid w:val="61CBF7CD"/>
    <w:rsid w:val="61D36089"/>
    <w:rsid w:val="61DBAA85"/>
    <w:rsid w:val="61DE7E2B"/>
    <w:rsid w:val="61F369A5"/>
    <w:rsid w:val="61F3C36E"/>
    <w:rsid w:val="61FFC41A"/>
    <w:rsid w:val="6207583C"/>
    <w:rsid w:val="620BD157"/>
    <w:rsid w:val="620F4EEB"/>
    <w:rsid w:val="6213DF42"/>
    <w:rsid w:val="62150198"/>
    <w:rsid w:val="6225E92E"/>
    <w:rsid w:val="62285856"/>
    <w:rsid w:val="62389FC1"/>
    <w:rsid w:val="6243218D"/>
    <w:rsid w:val="62534660"/>
    <w:rsid w:val="625F5E48"/>
    <w:rsid w:val="62658208"/>
    <w:rsid w:val="62808FCF"/>
    <w:rsid w:val="62821C67"/>
    <w:rsid w:val="62835D01"/>
    <w:rsid w:val="62887167"/>
    <w:rsid w:val="62969269"/>
    <w:rsid w:val="629F2F67"/>
    <w:rsid w:val="62A50FEA"/>
    <w:rsid w:val="62AAF907"/>
    <w:rsid w:val="62B8B138"/>
    <w:rsid w:val="62BF1058"/>
    <w:rsid w:val="62CA69D0"/>
    <w:rsid w:val="62FBDD43"/>
    <w:rsid w:val="6305F43E"/>
    <w:rsid w:val="63137E97"/>
    <w:rsid w:val="631AC549"/>
    <w:rsid w:val="631B61A2"/>
    <w:rsid w:val="631BFA08"/>
    <w:rsid w:val="631CBA01"/>
    <w:rsid w:val="632D6B20"/>
    <w:rsid w:val="6344DEF8"/>
    <w:rsid w:val="635034C9"/>
    <w:rsid w:val="637DE0F4"/>
    <w:rsid w:val="637DFAE1"/>
    <w:rsid w:val="639101BB"/>
    <w:rsid w:val="63981951"/>
    <w:rsid w:val="63A44153"/>
    <w:rsid w:val="63A7AA00"/>
    <w:rsid w:val="63B52662"/>
    <w:rsid w:val="63BD7B12"/>
    <w:rsid w:val="63C1BCBA"/>
    <w:rsid w:val="63C8C9C2"/>
    <w:rsid w:val="63D64ABB"/>
    <w:rsid w:val="63E40EE1"/>
    <w:rsid w:val="63E7A220"/>
    <w:rsid w:val="63F1B6DC"/>
    <w:rsid w:val="63FC9717"/>
    <w:rsid w:val="63FFAA4C"/>
    <w:rsid w:val="64184C6E"/>
    <w:rsid w:val="642BB1A2"/>
    <w:rsid w:val="642C2DA6"/>
    <w:rsid w:val="6433B507"/>
    <w:rsid w:val="6436BE20"/>
    <w:rsid w:val="6447AD03"/>
    <w:rsid w:val="64499DB5"/>
    <w:rsid w:val="646A76B2"/>
    <w:rsid w:val="646B33F0"/>
    <w:rsid w:val="64740A94"/>
    <w:rsid w:val="647A593A"/>
    <w:rsid w:val="6487E7C7"/>
    <w:rsid w:val="648B907A"/>
    <w:rsid w:val="649308E0"/>
    <w:rsid w:val="64A1EA2D"/>
    <w:rsid w:val="64A9128A"/>
    <w:rsid w:val="64C06FF9"/>
    <w:rsid w:val="64D31914"/>
    <w:rsid w:val="64EB1D44"/>
    <w:rsid w:val="64FD9615"/>
    <w:rsid w:val="6501474F"/>
    <w:rsid w:val="650A0C71"/>
    <w:rsid w:val="650A7398"/>
    <w:rsid w:val="650FFC84"/>
    <w:rsid w:val="651123AA"/>
    <w:rsid w:val="652F2DB4"/>
    <w:rsid w:val="6530DDD2"/>
    <w:rsid w:val="654818F2"/>
    <w:rsid w:val="6549E537"/>
    <w:rsid w:val="654E357D"/>
    <w:rsid w:val="655116CF"/>
    <w:rsid w:val="65531E1A"/>
    <w:rsid w:val="6553B52A"/>
    <w:rsid w:val="6556DEFF"/>
    <w:rsid w:val="655CDEBD"/>
    <w:rsid w:val="6561F5E4"/>
    <w:rsid w:val="6582B2EA"/>
    <w:rsid w:val="6583C7DE"/>
    <w:rsid w:val="6587A908"/>
    <w:rsid w:val="65904116"/>
    <w:rsid w:val="65982C2A"/>
    <w:rsid w:val="659D5E24"/>
    <w:rsid w:val="65A40262"/>
    <w:rsid w:val="65A6429A"/>
    <w:rsid w:val="65A7DF4A"/>
    <w:rsid w:val="65B5B22A"/>
    <w:rsid w:val="65B86A2A"/>
    <w:rsid w:val="65C9956E"/>
    <w:rsid w:val="65CB9E45"/>
    <w:rsid w:val="65DA827F"/>
    <w:rsid w:val="65DFFBEE"/>
    <w:rsid w:val="65E22861"/>
    <w:rsid w:val="65E82FBE"/>
    <w:rsid w:val="6600D1E2"/>
    <w:rsid w:val="66072FE3"/>
    <w:rsid w:val="6629FB76"/>
    <w:rsid w:val="6636DC55"/>
    <w:rsid w:val="6652E3B1"/>
    <w:rsid w:val="6660F679"/>
    <w:rsid w:val="6667E389"/>
    <w:rsid w:val="666CD08A"/>
    <w:rsid w:val="667D658E"/>
    <w:rsid w:val="66839D8B"/>
    <w:rsid w:val="668A2EEE"/>
    <w:rsid w:val="668E0BE0"/>
    <w:rsid w:val="66919E11"/>
    <w:rsid w:val="6692FECE"/>
    <w:rsid w:val="66AB30B2"/>
    <w:rsid w:val="66AE84CB"/>
    <w:rsid w:val="66B5D581"/>
    <w:rsid w:val="66B812EE"/>
    <w:rsid w:val="66CCEAF3"/>
    <w:rsid w:val="66E5C159"/>
    <w:rsid w:val="66EB5B5C"/>
    <w:rsid w:val="66F32811"/>
    <w:rsid w:val="66F55E1F"/>
    <w:rsid w:val="66F57391"/>
    <w:rsid w:val="670856A1"/>
    <w:rsid w:val="67093C85"/>
    <w:rsid w:val="671E2A24"/>
    <w:rsid w:val="6724EF7D"/>
    <w:rsid w:val="6743B47B"/>
    <w:rsid w:val="67486743"/>
    <w:rsid w:val="674D8F24"/>
    <w:rsid w:val="675268B9"/>
    <w:rsid w:val="6754B2BB"/>
    <w:rsid w:val="675F06DE"/>
    <w:rsid w:val="675FC5A9"/>
    <w:rsid w:val="676107DC"/>
    <w:rsid w:val="677577A5"/>
    <w:rsid w:val="6781AE2F"/>
    <w:rsid w:val="67933261"/>
    <w:rsid w:val="67962336"/>
    <w:rsid w:val="67A5A2F2"/>
    <w:rsid w:val="67B426A8"/>
    <w:rsid w:val="67C0E03E"/>
    <w:rsid w:val="67CF15BC"/>
    <w:rsid w:val="67D2822D"/>
    <w:rsid w:val="67E6F72A"/>
    <w:rsid w:val="67F4E2FD"/>
    <w:rsid w:val="67F99402"/>
    <w:rsid w:val="67FC21FE"/>
    <w:rsid w:val="67FC5F00"/>
    <w:rsid w:val="67FCD0F3"/>
    <w:rsid w:val="67FDE2B1"/>
    <w:rsid w:val="68030767"/>
    <w:rsid w:val="68177201"/>
    <w:rsid w:val="681CB683"/>
    <w:rsid w:val="681D0201"/>
    <w:rsid w:val="6839A8F0"/>
    <w:rsid w:val="6856401F"/>
    <w:rsid w:val="68592C5F"/>
    <w:rsid w:val="685A48B8"/>
    <w:rsid w:val="6868CC90"/>
    <w:rsid w:val="688AB19A"/>
    <w:rsid w:val="68951B88"/>
    <w:rsid w:val="68A031B0"/>
    <w:rsid w:val="68A07C07"/>
    <w:rsid w:val="68AD50DE"/>
    <w:rsid w:val="68B8C5CA"/>
    <w:rsid w:val="68BAD28E"/>
    <w:rsid w:val="68BE1ABD"/>
    <w:rsid w:val="68BF44BD"/>
    <w:rsid w:val="68C7BBB3"/>
    <w:rsid w:val="68D65D0E"/>
    <w:rsid w:val="68F25263"/>
    <w:rsid w:val="68F9D382"/>
    <w:rsid w:val="690BB03B"/>
    <w:rsid w:val="69178D6D"/>
    <w:rsid w:val="691A7365"/>
    <w:rsid w:val="692BDC8E"/>
    <w:rsid w:val="693BB56C"/>
    <w:rsid w:val="693E370B"/>
    <w:rsid w:val="69408E6D"/>
    <w:rsid w:val="694484BA"/>
    <w:rsid w:val="69490C42"/>
    <w:rsid w:val="6949F55F"/>
    <w:rsid w:val="694D8ED6"/>
    <w:rsid w:val="6951989A"/>
    <w:rsid w:val="6953DC6E"/>
    <w:rsid w:val="6956A2C6"/>
    <w:rsid w:val="695E67E6"/>
    <w:rsid w:val="696168E5"/>
    <w:rsid w:val="69624281"/>
    <w:rsid w:val="696A9D12"/>
    <w:rsid w:val="69727F29"/>
    <w:rsid w:val="698BC919"/>
    <w:rsid w:val="69A4E3F7"/>
    <w:rsid w:val="69AA47BF"/>
    <w:rsid w:val="69B30785"/>
    <w:rsid w:val="69BA9461"/>
    <w:rsid w:val="69C56E55"/>
    <w:rsid w:val="69DA2034"/>
    <w:rsid w:val="69DE18CE"/>
    <w:rsid w:val="69DF098D"/>
    <w:rsid w:val="69E3A71D"/>
    <w:rsid w:val="69E3F319"/>
    <w:rsid w:val="69EFF5EB"/>
    <w:rsid w:val="6A1DE82C"/>
    <w:rsid w:val="6A2576B6"/>
    <w:rsid w:val="6A263FFD"/>
    <w:rsid w:val="6A31EBA7"/>
    <w:rsid w:val="6A362C82"/>
    <w:rsid w:val="6A40B191"/>
    <w:rsid w:val="6A58DA37"/>
    <w:rsid w:val="6A59F148"/>
    <w:rsid w:val="6A63AF3E"/>
    <w:rsid w:val="6A678A40"/>
    <w:rsid w:val="6A68332A"/>
    <w:rsid w:val="6A6D7B11"/>
    <w:rsid w:val="6A70A894"/>
    <w:rsid w:val="6A7AB963"/>
    <w:rsid w:val="6A861234"/>
    <w:rsid w:val="6A88A183"/>
    <w:rsid w:val="6A8AAB79"/>
    <w:rsid w:val="6A8C6AFD"/>
    <w:rsid w:val="6A9C70C8"/>
    <w:rsid w:val="6AA08ABE"/>
    <w:rsid w:val="6AC93E11"/>
    <w:rsid w:val="6AD0E8F6"/>
    <w:rsid w:val="6AD9EE65"/>
    <w:rsid w:val="6AF62933"/>
    <w:rsid w:val="6AF794ED"/>
    <w:rsid w:val="6AFBC6A3"/>
    <w:rsid w:val="6B0331D5"/>
    <w:rsid w:val="6B033977"/>
    <w:rsid w:val="6B07A531"/>
    <w:rsid w:val="6B272086"/>
    <w:rsid w:val="6B2F7387"/>
    <w:rsid w:val="6B410F96"/>
    <w:rsid w:val="6B43DF91"/>
    <w:rsid w:val="6B597010"/>
    <w:rsid w:val="6B5A3A2C"/>
    <w:rsid w:val="6B5DC672"/>
    <w:rsid w:val="6B62BF8C"/>
    <w:rsid w:val="6B6BD963"/>
    <w:rsid w:val="6B74A6D8"/>
    <w:rsid w:val="6B75FDC8"/>
    <w:rsid w:val="6B80F806"/>
    <w:rsid w:val="6B835060"/>
    <w:rsid w:val="6B906520"/>
    <w:rsid w:val="6B90A644"/>
    <w:rsid w:val="6B93EF24"/>
    <w:rsid w:val="6B95F080"/>
    <w:rsid w:val="6BAC1753"/>
    <w:rsid w:val="6BB00758"/>
    <w:rsid w:val="6BB2C453"/>
    <w:rsid w:val="6BC11DE1"/>
    <w:rsid w:val="6BC74442"/>
    <w:rsid w:val="6BC7E6B5"/>
    <w:rsid w:val="6BC9572A"/>
    <w:rsid w:val="6BD53D10"/>
    <w:rsid w:val="6BD715C9"/>
    <w:rsid w:val="6BECE47E"/>
    <w:rsid w:val="6BF19660"/>
    <w:rsid w:val="6BF28C4B"/>
    <w:rsid w:val="6BF6A3F2"/>
    <w:rsid w:val="6BFE3E7C"/>
    <w:rsid w:val="6BFFDC53"/>
    <w:rsid w:val="6C0C0D01"/>
    <w:rsid w:val="6C271840"/>
    <w:rsid w:val="6C3094B5"/>
    <w:rsid w:val="6C384098"/>
    <w:rsid w:val="6C39830B"/>
    <w:rsid w:val="6C39FC83"/>
    <w:rsid w:val="6C54580D"/>
    <w:rsid w:val="6C54B065"/>
    <w:rsid w:val="6C651815"/>
    <w:rsid w:val="6C7BB87D"/>
    <w:rsid w:val="6C807C25"/>
    <w:rsid w:val="6C8EB29D"/>
    <w:rsid w:val="6C96E46B"/>
    <w:rsid w:val="6CA062CC"/>
    <w:rsid w:val="6CA115ED"/>
    <w:rsid w:val="6CA8BA99"/>
    <w:rsid w:val="6CAAC062"/>
    <w:rsid w:val="6CADF3A6"/>
    <w:rsid w:val="6CB6D909"/>
    <w:rsid w:val="6CB80BD0"/>
    <w:rsid w:val="6CD43207"/>
    <w:rsid w:val="6CD66E6B"/>
    <w:rsid w:val="6CE6147E"/>
    <w:rsid w:val="6D0C8795"/>
    <w:rsid w:val="6D17D283"/>
    <w:rsid w:val="6D41D652"/>
    <w:rsid w:val="6D4DECF5"/>
    <w:rsid w:val="6D5881D7"/>
    <w:rsid w:val="6D614EFA"/>
    <w:rsid w:val="6D63408D"/>
    <w:rsid w:val="6D6B17F6"/>
    <w:rsid w:val="6D6E7CC7"/>
    <w:rsid w:val="6D7012DC"/>
    <w:rsid w:val="6D76E4F3"/>
    <w:rsid w:val="6D79DCF1"/>
    <w:rsid w:val="6D8A28AB"/>
    <w:rsid w:val="6D9283EB"/>
    <w:rsid w:val="6D95398A"/>
    <w:rsid w:val="6DA017AE"/>
    <w:rsid w:val="6DA6F562"/>
    <w:rsid w:val="6DB1510F"/>
    <w:rsid w:val="6DB6CDCE"/>
    <w:rsid w:val="6DB8FA4A"/>
    <w:rsid w:val="6DC2488D"/>
    <w:rsid w:val="6DC5E765"/>
    <w:rsid w:val="6DCA4C35"/>
    <w:rsid w:val="6DD19723"/>
    <w:rsid w:val="6DD4BC74"/>
    <w:rsid w:val="6DD81888"/>
    <w:rsid w:val="6DE87654"/>
    <w:rsid w:val="6DF47AFE"/>
    <w:rsid w:val="6E01166B"/>
    <w:rsid w:val="6E08F10A"/>
    <w:rsid w:val="6E12E168"/>
    <w:rsid w:val="6E1F04C2"/>
    <w:rsid w:val="6E22F277"/>
    <w:rsid w:val="6E27261B"/>
    <w:rsid w:val="6E3764BA"/>
    <w:rsid w:val="6E495095"/>
    <w:rsid w:val="6E4A96D1"/>
    <w:rsid w:val="6E742672"/>
    <w:rsid w:val="6E79E39B"/>
    <w:rsid w:val="6E889DA4"/>
    <w:rsid w:val="6E900258"/>
    <w:rsid w:val="6E92B142"/>
    <w:rsid w:val="6EA114D6"/>
    <w:rsid w:val="6EA28FA2"/>
    <w:rsid w:val="6EABCEE5"/>
    <w:rsid w:val="6EF0F2E7"/>
    <w:rsid w:val="6EF6C59E"/>
    <w:rsid w:val="6F1288C3"/>
    <w:rsid w:val="6F178760"/>
    <w:rsid w:val="6F245257"/>
    <w:rsid w:val="6F2FD1F7"/>
    <w:rsid w:val="6F34D0CD"/>
    <w:rsid w:val="6F51F5D0"/>
    <w:rsid w:val="6F57797B"/>
    <w:rsid w:val="6F5D23BE"/>
    <w:rsid w:val="6F64AE57"/>
    <w:rsid w:val="6F66566D"/>
    <w:rsid w:val="6F6E7B47"/>
    <w:rsid w:val="6F70D670"/>
    <w:rsid w:val="6F716243"/>
    <w:rsid w:val="6F9472D7"/>
    <w:rsid w:val="6F98DDEB"/>
    <w:rsid w:val="6F9EF420"/>
    <w:rsid w:val="6FAEB813"/>
    <w:rsid w:val="6FBC86A4"/>
    <w:rsid w:val="6FC9C5B8"/>
    <w:rsid w:val="6FCCB092"/>
    <w:rsid w:val="6FCEBFFC"/>
    <w:rsid w:val="6FCEDA1E"/>
    <w:rsid w:val="6FD33CF2"/>
    <w:rsid w:val="6FDFA152"/>
    <w:rsid w:val="6FE40740"/>
    <w:rsid w:val="6FE6EA54"/>
    <w:rsid w:val="7000BCF5"/>
    <w:rsid w:val="7007BA17"/>
    <w:rsid w:val="700A290C"/>
    <w:rsid w:val="700A3846"/>
    <w:rsid w:val="70211C98"/>
    <w:rsid w:val="70223122"/>
    <w:rsid w:val="7022672E"/>
    <w:rsid w:val="702CBC0C"/>
    <w:rsid w:val="70324D3C"/>
    <w:rsid w:val="70341A8E"/>
    <w:rsid w:val="7055F252"/>
    <w:rsid w:val="705D3734"/>
    <w:rsid w:val="706607E8"/>
    <w:rsid w:val="706D3B02"/>
    <w:rsid w:val="707637E4"/>
    <w:rsid w:val="70804C68"/>
    <w:rsid w:val="708706A7"/>
    <w:rsid w:val="708C42EF"/>
    <w:rsid w:val="7095D866"/>
    <w:rsid w:val="70A2411D"/>
    <w:rsid w:val="70A46866"/>
    <w:rsid w:val="70AC8AA2"/>
    <w:rsid w:val="70AF11D6"/>
    <w:rsid w:val="70D15982"/>
    <w:rsid w:val="70D315F0"/>
    <w:rsid w:val="70DB5E2E"/>
    <w:rsid w:val="70E03B9C"/>
    <w:rsid w:val="70E8A338"/>
    <w:rsid w:val="70F7910A"/>
    <w:rsid w:val="71006335"/>
    <w:rsid w:val="711BBF13"/>
    <w:rsid w:val="712AC4BD"/>
    <w:rsid w:val="712E673B"/>
    <w:rsid w:val="715D235A"/>
    <w:rsid w:val="71616087"/>
    <w:rsid w:val="7169C2A9"/>
    <w:rsid w:val="716D0A61"/>
    <w:rsid w:val="71723FC3"/>
    <w:rsid w:val="71797C57"/>
    <w:rsid w:val="7185FCE4"/>
    <w:rsid w:val="7189CE59"/>
    <w:rsid w:val="7198560B"/>
    <w:rsid w:val="71A10B67"/>
    <w:rsid w:val="71B424AD"/>
    <w:rsid w:val="71B89594"/>
    <w:rsid w:val="71CC1FF1"/>
    <w:rsid w:val="71CCE7B1"/>
    <w:rsid w:val="71EAB038"/>
    <w:rsid w:val="71EC045D"/>
    <w:rsid w:val="71EDD027"/>
    <w:rsid w:val="71EE2F33"/>
    <w:rsid w:val="71EE50EF"/>
    <w:rsid w:val="71F4A977"/>
    <w:rsid w:val="71F9F33C"/>
    <w:rsid w:val="720B58DB"/>
    <w:rsid w:val="7210387A"/>
    <w:rsid w:val="722ACE41"/>
    <w:rsid w:val="722F8CC4"/>
    <w:rsid w:val="7237221D"/>
    <w:rsid w:val="72389AB6"/>
    <w:rsid w:val="723BD0CD"/>
    <w:rsid w:val="723CCFB1"/>
    <w:rsid w:val="72467427"/>
    <w:rsid w:val="724796A7"/>
    <w:rsid w:val="7249D309"/>
    <w:rsid w:val="72668BDF"/>
    <w:rsid w:val="7268E3DC"/>
    <w:rsid w:val="726C9961"/>
    <w:rsid w:val="727275EB"/>
    <w:rsid w:val="727546BB"/>
    <w:rsid w:val="7277DCB5"/>
    <w:rsid w:val="7281A7C3"/>
    <w:rsid w:val="72837F0F"/>
    <w:rsid w:val="728D3C52"/>
    <w:rsid w:val="729F734A"/>
    <w:rsid w:val="72AC5D5A"/>
    <w:rsid w:val="72C1E472"/>
    <w:rsid w:val="72C54FCD"/>
    <w:rsid w:val="72C74CEF"/>
    <w:rsid w:val="72CF099C"/>
    <w:rsid w:val="72D89588"/>
    <w:rsid w:val="72DD848A"/>
    <w:rsid w:val="72DDFC78"/>
    <w:rsid w:val="72DF000C"/>
    <w:rsid w:val="72DF3E88"/>
    <w:rsid w:val="72E0751E"/>
    <w:rsid w:val="72E4FC39"/>
    <w:rsid w:val="72EB01AF"/>
    <w:rsid w:val="72FCB8E2"/>
    <w:rsid w:val="7304A3A9"/>
    <w:rsid w:val="73290A3F"/>
    <w:rsid w:val="732B1454"/>
    <w:rsid w:val="732DC78A"/>
    <w:rsid w:val="734A727D"/>
    <w:rsid w:val="734E7028"/>
    <w:rsid w:val="7354339F"/>
    <w:rsid w:val="7366306A"/>
    <w:rsid w:val="7367D086"/>
    <w:rsid w:val="73697CC2"/>
    <w:rsid w:val="7369D6FD"/>
    <w:rsid w:val="736DC4EC"/>
    <w:rsid w:val="73772201"/>
    <w:rsid w:val="7378472F"/>
    <w:rsid w:val="737926A6"/>
    <w:rsid w:val="7384FD9B"/>
    <w:rsid w:val="738A3D6F"/>
    <w:rsid w:val="738ED4AF"/>
    <w:rsid w:val="73B39D62"/>
    <w:rsid w:val="73BA3F53"/>
    <w:rsid w:val="73BBCD08"/>
    <w:rsid w:val="73C2DACA"/>
    <w:rsid w:val="73D5CD76"/>
    <w:rsid w:val="73DDACE8"/>
    <w:rsid w:val="73F133F6"/>
    <w:rsid w:val="74070159"/>
    <w:rsid w:val="741503F9"/>
    <w:rsid w:val="74176B33"/>
    <w:rsid w:val="741A2741"/>
    <w:rsid w:val="741ACD35"/>
    <w:rsid w:val="742DC020"/>
    <w:rsid w:val="7440038F"/>
    <w:rsid w:val="7449D2F4"/>
    <w:rsid w:val="7452925E"/>
    <w:rsid w:val="7476A01E"/>
    <w:rsid w:val="7478D6E7"/>
    <w:rsid w:val="7489E743"/>
    <w:rsid w:val="748CFFEF"/>
    <w:rsid w:val="748F8C4D"/>
    <w:rsid w:val="7490D2EA"/>
    <w:rsid w:val="74AD0B5E"/>
    <w:rsid w:val="74B21606"/>
    <w:rsid w:val="74CA4FC2"/>
    <w:rsid w:val="74DBA035"/>
    <w:rsid w:val="74ED56EF"/>
    <w:rsid w:val="74F12B0F"/>
    <w:rsid w:val="750213A8"/>
    <w:rsid w:val="7507E744"/>
    <w:rsid w:val="7512C18A"/>
    <w:rsid w:val="751DE08D"/>
    <w:rsid w:val="7523C796"/>
    <w:rsid w:val="75393417"/>
    <w:rsid w:val="75428A09"/>
    <w:rsid w:val="75524F88"/>
    <w:rsid w:val="75573850"/>
    <w:rsid w:val="7565C87A"/>
    <w:rsid w:val="7570F452"/>
    <w:rsid w:val="75853757"/>
    <w:rsid w:val="758A9551"/>
    <w:rsid w:val="759BAD31"/>
    <w:rsid w:val="75A442BD"/>
    <w:rsid w:val="75ACF4FF"/>
    <w:rsid w:val="75B38704"/>
    <w:rsid w:val="75B7C074"/>
    <w:rsid w:val="75BAEB78"/>
    <w:rsid w:val="75C0A9B3"/>
    <w:rsid w:val="75D08266"/>
    <w:rsid w:val="75DFF95F"/>
    <w:rsid w:val="75E56D6C"/>
    <w:rsid w:val="75FA9339"/>
    <w:rsid w:val="760AF831"/>
    <w:rsid w:val="760B5D5D"/>
    <w:rsid w:val="76159052"/>
    <w:rsid w:val="7622075E"/>
    <w:rsid w:val="763CBDDF"/>
    <w:rsid w:val="7640DD49"/>
    <w:rsid w:val="764C2615"/>
    <w:rsid w:val="764EFA31"/>
    <w:rsid w:val="764F09DE"/>
    <w:rsid w:val="7655A734"/>
    <w:rsid w:val="765CA61D"/>
    <w:rsid w:val="76666FD3"/>
    <w:rsid w:val="766A615D"/>
    <w:rsid w:val="7679DC8A"/>
    <w:rsid w:val="767E2748"/>
    <w:rsid w:val="767F267A"/>
    <w:rsid w:val="768041C0"/>
    <w:rsid w:val="76882DE9"/>
    <w:rsid w:val="7689B902"/>
    <w:rsid w:val="769978F2"/>
    <w:rsid w:val="76AF0887"/>
    <w:rsid w:val="76B7658C"/>
    <w:rsid w:val="76BF9FC1"/>
    <w:rsid w:val="76D42F7B"/>
    <w:rsid w:val="76EAE340"/>
    <w:rsid w:val="76F0C53E"/>
    <w:rsid w:val="76FD49AC"/>
    <w:rsid w:val="7701198E"/>
    <w:rsid w:val="770789E2"/>
    <w:rsid w:val="77097AAA"/>
    <w:rsid w:val="770992A0"/>
    <w:rsid w:val="770D7F88"/>
    <w:rsid w:val="77139A66"/>
    <w:rsid w:val="7725BC1D"/>
    <w:rsid w:val="7731810D"/>
    <w:rsid w:val="7758DBE4"/>
    <w:rsid w:val="77593205"/>
    <w:rsid w:val="776DCDC4"/>
    <w:rsid w:val="77701793"/>
    <w:rsid w:val="77832B92"/>
    <w:rsid w:val="77852667"/>
    <w:rsid w:val="77861983"/>
    <w:rsid w:val="7793E75B"/>
    <w:rsid w:val="779515B6"/>
    <w:rsid w:val="7798F7B1"/>
    <w:rsid w:val="77998532"/>
    <w:rsid w:val="77AA3B84"/>
    <w:rsid w:val="77AB175A"/>
    <w:rsid w:val="77AD2670"/>
    <w:rsid w:val="77B54E52"/>
    <w:rsid w:val="77E98FB1"/>
    <w:rsid w:val="77F10159"/>
    <w:rsid w:val="77F44BF7"/>
    <w:rsid w:val="780A90F0"/>
    <w:rsid w:val="7832526F"/>
    <w:rsid w:val="7833B6C7"/>
    <w:rsid w:val="785F9AED"/>
    <w:rsid w:val="786234F6"/>
    <w:rsid w:val="786538EE"/>
    <w:rsid w:val="7867B5F7"/>
    <w:rsid w:val="787868D4"/>
    <w:rsid w:val="787DA47C"/>
    <w:rsid w:val="788B8E10"/>
    <w:rsid w:val="78A386C7"/>
    <w:rsid w:val="78AE099D"/>
    <w:rsid w:val="78BC4712"/>
    <w:rsid w:val="78BCB7EE"/>
    <w:rsid w:val="78CAA2F9"/>
    <w:rsid w:val="78DB4813"/>
    <w:rsid w:val="78DD859F"/>
    <w:rsid w:val="78DFA52C"/>
    <w:rsid w:val="78ED57DC"/>
    <w:rsid w:val="78F17333"/>
    <w:rsid w:val="79171EEE"/>
    <w:rsid w:val="7917E0D2"/>
    <w:rsid w:val="792343BD"/>
    <w:rsid w:val="794AB805"/>
    <w:rsid w:val="794ECC98"/>
    <w:rsid w:val="79532CAA"/>
    <w:rsid w:val="7966ECEF"/>
    <w:rsid w:val="796B8FA9"/>
    <w:rsid w:val="798810A2"/>
    <w:rsid w:val="79A45A16"/>
    <w:rsid w:val="79AE91E0"/>
    <w:rsid w:val="79AF196B"/>
    <w:rsid w:val="79C5BADC"/>
    <w:rsid w:val="79D01536"/>
    <w:rsid w:val="79D06A05"/>
    <w:rsid w:val="79DE91F4"/>
    <w:rsid w:val="79F7765D"/>
    <w:rsid w:val="79F7B170"/>
    <w:rsid w:val="79FCB07D"/>
    <w:rsid w:val="79FCF4C9"/>
    <w:rsid w:val="7A05D993"/>
    <w:rsid w:val="7A0F3EBB"/>
    <w:rsid w:val="7A247417"/>
    <w:rsid w:val="7A333020"/>
    <w:rsid w:val="7A348AA7"/>
    <w:rsid w:val="7A39693E"/>
    <w:rsid w:val="7A55EFB3"/>
    <w:rsid w:val="7A55F88F"/>
    <w:rsid w:val="7A5F03B6"/>
    <w:rsid w:val="7A6040EC"/>
    <w:rsid w:val="7A60E805"/>
    <w:rsid w:val="7A6B95AB"/>
    <w:rsid w:val="7A70F0E4"/>
    <w:rsid w:val="7A9A7AC5"/>
    <w:rsid w:val="7AA2F3FF"/>
    <w:rsid w:val="7AA6B4FA"/>
    <w:rsid w:val="7AB739BC"/>
    <w:rsid w:val="7AC666F1"/>
    <w:rsid w:val="7AD2E4F4"/>
    <w:rsid w:val="7AD75F67"/>
    <w:rsid w:val="7AF102CD"/>
    <w:rsid w:val="7AF17D2D"/>
    <w:rsid w:val="7AF6A16F"/>
    <w:rsid w:val="7AF8BB60"/>
    <w:rsid w:val="7AFC93ED"/>
    <w:rsid w:val="7B0146B3"/>
    <w:rsid w:val="7B02CC0B"/>
    <w:rsid w:val="7B18EB44"/>
    <w:rsid w:val="7B285182"/>
    <w:rsid w:val="7B39A79C"/>
    <w:rsid w:val="7B3B84D3"/>
    <w:rsid w:val="7B4E59B3"/>
    <w:rsid w:val="7B5252A1"/>
    <w:rsid w:val="7B5437AF"/>
    <w:rsid w:val="7B5440FD"/>
    <w:rsid w:val="7B641FB4"/>
    <w:rsid w:val="7B714A33"/>
    <w:rsid w:val="7B7B76AC"/>
    <w:rsid w:val="7B7C6880"/>
    <w:rsid w:val="7B7DCAF7"/>
    <w:rsid w:val="7B84EC02"/>
    <w:rsid w:val="7B87B21F"/>
    <w:rsid w:val="7B894DBC"/>
    <w:rsid w:val="7B8CB944"/>
    <w:rsid w:val="7B8F4822"/>
    <w:rsid w:val="7BB73770"/>
    <w:rsid w:val="7BC4AEC0"/>
    <w:rsid w:val="7BC74EF5"/>
    <w:rsid w:val="7BC7C90A"/>
    <w:rsid w:val="7BCB0849"/>
    <w:rsid w:val="7BD30E7C"/>
    <w:rsid w:val="7BE1E13F"/>
    <w:rsid w:val="7BE3DE8E"/>
    <w:rsid w:val="7BF23B55"/>
    <w:rsid w:val="7C009698"/>
    <w:rsid w:val="7C059B7A"/>
    <w:rsid w:val="7C210E1E"/>
    <w:rsid w:val="7C4BFED7"/>
    <w:rsid w:val="7C510EE8"/>
    <w:rsid w:val="7C599B23"/>
    <w:rsid w:val="7C67AB47"/>
    <w:rsid w:val="7C7E5D84"/>
    <w:rsid w:val="7C82D6FA"/>
    <w:rsid w:val="7C85EB61"/>
    <w:rsid w:val="7C87B487"/>
    <w:rsid w:val="7C8987BB"/>
    <w:rsid w:val="7C8D3B5F"/>
    <w:rsid w:val="7C945375"/>
    <w:rsid w:val="7C95A3F0"/>
    <w:rsid w:val="7CA0C9CA"/>
    <w:rsid w:val="7CCAC048"/>
    <w:rsid w:val="7CDC467C"/>
    <w:rsid w:val="7CDFC3C1"/>
    <w:rsid w:val="7CF33EB8"/>
    <w:rsid w:val="7D0D8C4B"/>
    <w:rsid w:val="7D10A275"/>
    <w:rsid w:val="7D1BBC29"/>
    <w:rsid w:val="7D23D8E7"/>
    <w:rsid w:val="7D37A83C"/>
    <w:rsid w:val="7D38568C"/>
    <w:rsid w:val="7D394BA6"/>
    <w:rsid w:val="7D4F1776"/>
    <w:rsid w:val="7D546973"/>
    <w:rsid w:val="7D653708"/>
    <w:rsid w:val="7D719C2A"/>
    <w:rsid w:val="7D71C92B"/>
    <w:rsid w:val="7D7D0C44"/>
    <w:rsid w:val="7D7EAE00"/>
    <w:rsid w:val="7D816DA1"/>
    <w:rsid w:val="7D8E2D00"/>
    <w:rsid w:val="7DAC5E4B"/>
    <w:rsid w:val="7DB5F8CF"/>
    <w:rsid w:val="7DBC5028"/>
    <w:rsid w:val="7DC2A862"/>
    <w:rsid w:val="7DC74C46"/>
    <w:rsid w:val="7DC81642"/>
    <w:rsid w:val="7DD54AE4"/>
    <w:rsid w:val="7DE54A21"/>
    <w:rsid w:val="7DE5F9D6"/>
    <w:rsid w:val="7E01B79D"/>
    <w:rsid w:val="7E03847B"/>
    <w:rsid w:val="7E09E131"/>
    <w:rsid w:val="7E0DCD31"/>
    <w:rsid w:val="7E19CF22"/>
    <w:rsid w:val="7E200129"/>
    <w:rsid w:val="7E2DAB71"/>
    <w:rsid w:val="7E2E850B"/>
    <w:rsid w:val="7E5328E2"/>
    <w:rsid w:val="7E575960"/>
    <w:rsid w:val="7E59A9ED"/>
    <w:rsid w:val="7E5A74A1"/>
    <w:rsid w:val="7E5CEDBC"/>
    <w:rsid w:val="7E60F700"/>
    <w:rsid w:val="7E65A754"/>
    <w:rsid w:val="7E6DA9E3"/>
    <w:rsid w:val="7E6DF744"/>
    <w:rsid w:val="7E80D45E"/>
    <w:rsid w:val="7EA256BF"/>
    <w:rsid w:val="7EA6A8F9"/>
    <w:rsid w:val="7EC30357"/>
    <w:rsid w:val="7EDA4229"/>
    <w:rsid w:val="7EE158F9"/>
    <w:rsid w:val="7EFB14D8"/>
    <w:rsid w:val="7F12F91F"/>
    <w:rsid w:val="7F1FC9D8"/>
    <w:rsid w:val="7F2508FA"/>
    <w:rsid w:val="7F27206A"/>
    <w:rsid w:val="7F28B53B"/>
    <w:rsid w:val="7F308173"/>
    <w:rsid w:val="7F360182"/>
    <w:rsid w:val="7F36F27F"/>
    <w:rsid w:val="7F3C1A58"/>
    <w:rsid w:val="7F3EBDC5"/>
    <w:rsid w:val="7F3F60EF"/>
    <w:rsid w:val="7F3FAFDC"/>
    <w:rsid w:val="7F410890"/>
    <w:rsid w:val="7F52AA1D"/>
    <w:rsid w:val="7F7B419E"/>
    <w:rsid w:val="7F81CC2F"/>
    <w:rsid w:val="7F8B6844"/>
    <w:rsid w:val="7F96B15D"/>
    <w:rsid w:val="7F97B6EE"/>
    <w:rsid w:val="7F9CCB4E"/>
    <w:rsid w:val="7FA26281"/>
    <w:rsid w:val="7FA45EE7"/>
    <w:rsid w:val="7FA93203"/>
    <w:rsid w:val="7FBA1AA8"/>
    <w:rsid w:val="7FC348A5"/>
    <w:rsid w:val="7FDD36BE"/>
    <w:rsid w:val="7FDE7174"/>
    <w:rsid w:val="7FDFD994"/>
    <w:rsid w:val="7FE46C1A"/>
    <w:rsid w:val="7FEBDFE8"/>
    <w:rsid w:val="7FEFA6EC"/>
    <w:rsid w:val="7FF1AE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67F94"/>
  <w15:chartTrackingRefBased/>
  <w15:docId w15:val="{01566058-F762-EE4C-BFC1-2B78E131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41A"/>
    <w:pPr>
      <w:spacing w:after="0" w:line="276" w:lineRule="auto"/>
    </w:pPr>
    <w:rPr>
      <w:rFonts w:eastAsia="Times New Roman" w:cs="Times New Roman"/>
      <w:lang w:val="en-CA" w:eastAsia="en-US"/>
    </w:rPr>
  </w:style>
  <w:style w:type="paragraph" w:styleId="Heading1">
    <w:name w:val="heading 1"/>
    <w:basedOn w:val="Titlepage"/>
    <w:next w:val="Normal"/>
    <w:link w:val="Heading1Char"/>
    <w:uiPriority w:val="9"/>
    <w:qFormat/>
    <w:rsid w:val="00241BF6"/>
    <w:pPr>
      <w:outlineLvl w:val="0"/>
    </w:pPr>
  </w:style>
  <w:style w:type="paragraph" w:styleId="Heading2">
    <w:name w:val="heading 2"/>
    <w:basedOn w:val="Normal"/>
    <w:next w:val="Normal"/>
    <w:link w:val="Heading2Char"/>
    <w:uiPriority w:val="9"/>
    <w:unhideWhenUsed/>
    <w:qFormat/>
    <w:rsid w:val="01E48AAC"/>
    <w:pPr>
      <w:keepNext/>
      <w:keepLines/>
      <w:spacing w:before="160" w:after="80"/>
      <w:outlineLvl w:val="1"/>
    </w:pPr>
    <w:rPr>
      <w:b/>
      <w:bCs/>
      <w:color w:val="0F4761" w:themeColor="accent1" w:themeShade="BF"/>
      <w:sz w:val="44"/>
      <w:szCs w:val="44"/>
    </w:rPr>
  </w:style>
  <w:style w:type="paragraph" w:styleId="Heading3">
    <w:name w:val="heading 3"/>
    <w:basedOn w:val="Normal"/>
    <w:next w:val="Normal"/>
    <w:link w:val="Heading3Char"/>
    <w:uiPriority w:val="9"/>
    <w:unhideWhenUsed/>
    <w:qFormat/>
    <w:rsid w:val="01E48AAC"/>
    <w:pPr>
      <w:keepNext/>
      <w:keepLines/>
      <w:spacing w:before="160" w:after="80"/>
      <w:outlineLvl w:val="2"/>
    </w:pPr>
    <w:rPr>
      <w:b/>
      <w:bCs/>
      <w:color w:val="800000"/>
      <w:sz w:val="36"/>
      <w:szCs w:val="36"/>
    </w:rPr>
  </w:style>
  <w:style w:type="paragraph" w:styleId="Heading4">
    <w:name w:val="heading 4"/>
    <w:basedOn w:val="Normal"/>
    <w:next w:val="Normal"/>
    <w:link w:val="Heading4Char"/>
    <w:uiPriority w:val="9"/>
    <w:unhideWhenUsed/>
    <w:qFormat/>
    <w:rsid w:val="005D5C8A"/>
    <w:pPr>
      <w:keepNext/>
      <w:keepLines/>
      <w:spacing w:before="80" w:after="120"/>
      <w:outlineLvl w:val="3"/>
    </w:pPr>
    <w:rPr>
      <w:b/>
      <w:bCs/>
      <w:color w:val="0F4761" w:themeColor="accent1" w:themeShade="BF"/>
      <w:sz w:val="32"/>
      <w:szCs w:val="32"/>
    </w:rPr>
  </w:style>
  <w:style w:type="paragraph" w:styleId="Heading5">
    <w:name w:val="heading 5"/>
    <w:basedOn w:val="Normal"/>
    <w:next w:val="Normal"/>
    <w:link w:val="Heading5Char"/>
    <w:uiPriority w:val="9"/>
    <w:unhideWhenUsed/>
    <w:qFormat/>
    <w:rsid w:val="01E48AAC"/>
    <w:pPr>
      <w:keepNext/>
      <w:keepLines/>
      <w:spacing w:before="80" w:after="40"/>
      <w:outlineLvl w:val="4"/>
    </w:pPr>
    <w:rPr>
      <w:b/>
      <w:bCs/>
      <w:color w:val="800000"/>
      <w:sz w:val="28"/>
      <w:szCs w:val="28"/>
    </w:rPr>
  </w:style>
  <w:style w:type="paragraph" w:styleId="Heading6">
    <w:name w:val="heading 6"/>
    <w:basedOn w:val="Normal"/>
    <w:next w:val="Normal"/>
    <w:link w:val="Heading6Char"/>
    <w:uiPriority w:val="9"/>
    <w:unhideWhenUsed/>
    <w:qFormat/>
    <w:rsid w:val="00F901AC"/>
    <w:pPr>
      <w:keepNext/>
      <w:keepLines/>
      <w:spacing w:before="40"/>
      <w:outlineLvl w:val="5"/>
    </w:pPr>
    <w:rPr>
      <w:rFonts w:eastAsiaTheme="majorEastAsia" w:cstheme="majorBidi"/>
      <w:b/>
      <w:bCs/>
      <w:color w:val="0F4761" w:themeColor="accent1" w:themeShade="BF"/>
    </w:rPr>
  </w:style>
  <w:style w:type="paragraph" w:styleId="Heading7">
    <w:name w:val="heading 7"/>
    <w:basedOn w:val="Normal"/>
    <w:next w:val="Normal"/>
    <w:link w:val="Heading7Char"/>
    <w:uiPriority w:val="9"/>
    <w:unhideWhenUsed/>
    <w:qFormat/>
    <w:rsid w:val="0CF19F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CF19F9F"/>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0CF19F9F"/>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BF6"/>
    <w:rPr>
      <w:rFonts w:eastAsia="Aptos" w:cs="Aptos"/>
      <w:lang w:val="en-CA" w:eastAsia="en-US"/>
    </w:rPr>
  </w:style>
  <w:style w:type="character" w:customStyle="1" w:styleId="Heading2Char">
    <w:name w:val="Heading 2 Char"/>
    <w:basedOn w:val="DefaultParagraphFont"/>
    <w:link w:val="Heading2"/>
    <w:uiPriority w:val="9"/>
    <w:rsid w:val="23975D93"/>
    <w:rPr>
      <w:b/>
      <w:bCs/>
      <w:color w:val="0F4761" w:themeColor="accent1" w:themeShade="BF"/>
      <w:sz w:val="44"/>
      <w:szCs w:val="44"/>
    </w:rPr>
  </w:style>
  <w:style w:type="character" w:customStyle="1" w:styleId="Heading3Char">
    <w:name w:val="Heading 3 Char"/>
    <w:basedOn w:val="DefaultParagraphFont"/>
    <w:link w:val="Heading3"/>
    <w:uiPriority w:val="9"/>
    <w:rsid w:val="0CF19F9F"/>
    <w:rPr>
      <w:b/>
      <w:bCs/>
      <w:color w:val="800000"/>
      <w:sz w:val="36"/>
      <w:szCs w:val="36"/>
    </w:rPr>
  </w:style>
  <w:style w:type="character" w:customStyle="1" w:styleId="Heading4Char">
    <w:name w:val="Heading 4 Char"/>
    <w:basedOn w:val="DefaultParagraphFont"/>
    <w:link w:val="Heading4"/>
    <w:uiPriority w:val="9"/>
    <w:rsid w:val="23975D93"/>
    <w:rPr>
      <w:rFonts w:eastAsia="Times New Roman" w:cs="Times New Roman"/>
      <w:b/>
      <w:bCs/>
      <w:color w:val="0F4761" w:themeColor="accent1" w:themeShade="BF"/>
      <w:sz w:val="32"/>
      <w:szCs w:val="32"/>
      <w:lang w:val="en-CA" w:eastAsia="en-US"/>
    </w:rPr>
  </w:style>
  <w:style w:type="character" w:customStyle="1" w:styleId="Heading5Char">
    <w:name w:val="Heading 5 Char"/>
    <w:basedOn w:val="DefaultParagraphFont"/>
    <w:link w:val="Heading5"/>
    <w:uiPriority w:val="9"/>
    <w:rsid w:val="58146045"/>
    <w:rPr>
      <w:b/>
      <w:bCs/>
      <w:color w:val="800000"/>
      <w:sz w:val="28"/>
      <w:szCs w:val="28"/>
    </w:rPr>
  </w:style>
  <w:style w:type="character" w:customStyle="1" w:styleId="Heading6Char">
    <w:name w:val="Heading 6 Char"/>
    <w:basedOn w:val="DefaultParagraphFont"/>
    <w:link w:val="Heading6"/>
    <w:uiPriority w:val="9"/>
    <w:rPr>
      <w:rFonts w:eastAsiaTheme="majorEastAsia" w:cstheme="majorBidi"/>
      <w:b/>
      <w:bCs/>
      <w:color w:val="0F4761" w:themeColor="accent1" w:themeShade="BF"/>
      <w:lang w:val="en-CA" w:eastAsia="en-US"/>
    </w:rPr>
  </w:style>
  <w:style w:type="character" w:customStyle="1" w:styleId="Heading7Char">
    <w:name w:val="Heading 7 Char"/>
    <w:basedOn w:val="DefaultParagraphFont"/>
    <w:link w:val="Heading7"/>
    <w:uiPriority w:val="9"/>
    <w:rPr>
      <w:rFonts w:eastAsiaTheme="majorEastAsia" w:cstheme="majorBidi"/>
      <w:color w:val="595959" w:themeColor="text1" w:themeTint="A6"/>
      <w:lang w:val="en-CA" w:eastAsia="en-US"/>
    </w:rPr>
  </w:style>
  <w:style w:type="character" w:customStyle="1" w:styleId="Heading8Char">
    <w:name w:val="Heading 8 Char"/>
    <w:basedOn w:val="DefaultParagraphFont"/>
    <w:link w:val="Heading8"/>
    <w:uiPriority w:val="9"/>
    <w:rPr>
      <w:rFonts w:eastAsiaTheme="majorEastAsia" w:cstheme="majorBidi"/>
      <w:i/>
      <w:iCs/>
      <w:color w:val="272727"/>
      <w:lang w:val="en-CA" w:eastAsia="en-US"/>
    </w:rPr>
  </w:style>
  <w:style w:type="character" w:customStyle="1" w:styleId="Heading9Char">
    <w:name w:val="Heading 9 Char"/>
    <w:basedOn w:val="DefaultParagraphFont"/>
    <w:link w:val="Heading9"/>
    <w:uiPriority w:val="9"/>
    <w:rPr>
      <w:rFonts w:eastAsiaTheme="majorEastAsia" w:cstheme="majorBidi"/>
      <w:color w:val="272727"/>
      <w:lang w:val="en-CA" w:eastAsia="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CF19F9F"/>
    <w:pPr>
      <w:spacing w:after="80"/>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CF19F9F"/>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CF19F9F"/>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CF19F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TOC2">
    <w:name w:val="toc 2"/>
    <w:basedOn w:val="Normal"/>
    <w:next w:val="Normal"/>
    <w:uiPriority w:val="39"/>
    <w:unhideWhenUsed/>
    <w:rsid w:val="0CF19F9F"/>
    <w:pPr>
      <w:spacing w:after="100"/>
      <w:ind w:left="220"/>
    </w:pPr>
  </w:style>
  <w:style w:type="character" w:styleId="Hyperlink">
    <w:name w:val="Hyperlink"/>
    <w:basedOn w:val="DefaultParagraphFont"/>
    <w:uiPriority w:val="99"/>
    <w:unhideWhenUsed/>
    <w:rsid w:val="61D36089"/>
    <w:rPr>
      <w:color w:val="467886"/>
      <w:u w:val="single"/>
    </w:rPr>
  </w:style>
  <w:style w:type="paragraph" w:styleId="ListParagraph">
    <w:name w:val="List Paragraph"/>
    <w:basedOn w:val="Normal"/>
    <w:uiPriority w:val="34"/>
    <w:qFormat/>
    <w:rsid w:val="0CF19F9F"/>
    <w:pPr>
      <w:ind w:left="720"/>
      <w:contextualSpacing/>
    </w:pPr>
  </w:style>
  <w:style w:type="paragraph" w:styleId="TOC3">
    <w:name w:val="toc 3"/>
    <w:basedOn w:val="Normal"/>
    <w:next w:val="Normal"/>
    <w:uiPriority w:val="39"/>
    <w:unhideWhenUsed/>
    <w:rsid w:val="0CF19F9F"/>
    <w:pPr>
      <w:spacing w:after="100"/>
      <w:ind w:left="440"/>
    </w:pPr>
  </w:style>
  <w:style w:type="paragraph" w:styleId="TOC4">
    <w:name w:val="toc 4"/>
    <w:basedOn w:val="Normal"/>
    <w:next w:val="Normal"/>
    <w:uiPriority w:val="39"/>
    <w:unhideWhenUsed/>
    <w:rsid w:val="0CF19F9F"/>
    <w:pPr>
      <w:spacing w:after="100"/>
      <w:ind w:left="660"/>
    </w:pPr>
  </w:style>
  <w:style w:type="paragraph" w:customStyle="1" w:styleId="Student">
    <w:name w:val="Student"/>
    <w:basedOn w:val="Normal"/>
    <w:link w:val="StudentChar"/>
    <w:uiPriority w:val="1"/>
    <w:qFormat/>
    <w:rsid w:val="00F042C9"/>
    <w:pPr>
      <w:pBdr>
        <w:left w:val="single" w:sz="24" w:space="4" w:color="auto"/>
      </w:pBdr>
      <w:ind w:left="142"/>
    </w:pPr>
  </w:style>
  <w:style w:type="character" w:customStyle="1" w:styleId="StudentChar">
    <w:name w:val="Student Char"/>
    <w:basedOn w:val="DefaultParagraphFont"/>
    <w:link w:val="Student"/>
    <w:uiPriority w:val="1"/>
    <w:rsid w:val="00F042C9"/>
    <w:rPr>
      <w:rFonts w:eastAsia="Times New Roman" w:cs="Times New Roman"/>
      <w:lang w:val="en-CA" w:eastAsia="en-US"/>
    </w:rPr>
  </w:style>
  <w:style w:type="paragraph" w:customStyle="1" w:styleId="Titlepage">
    <w:name w:val="Title page"/>
    <w:basedOn w:val="Normal"/>
    <w:link w:val="TitlepageChar"/>
    <w:uiPriority w:val="1"/>
    <w:qFormat/>
    <w:rsid w:val="0CF19F9F"/>
    <w:pPr>
      <w:spacing w:before="5000"/>
      <w:jc w:val="center"/>
    </w:pPr>
    <w:rPr>
      <w:rFonts w:eastAsia="Aptos" w:cs="Aptos"/>
    </w:rPr>
  </w:style>
  <w:style w:type="character" w:customStyle="1" w:styleId="TitlepageChar">
    <w:name w:val="Title page Char"/>
    <w:basedOn w:val="DefaultParagraphFont"/>
    <w:link w:val="Titlepage"/>
    <w:rsid w:val="0CF19F9F"/>
    <w:rPr>
      <w:rFonts w:asciiTheme="minorHAnsi" w:eastAsiaTheme="minorEastAsia" w:hAnsiTheme="minorHAnsi" w:cstheme="minorBidi"/>
      <w:sz w:val="24"/>
      <w:szCs w:val="24"/>
    </w:rPr>
  </w:style>
  <w:style w:type="paragraph" w:customStyle="1" w:styleId="Reference">
    <w:name w:val="Reference"/>
    <w:basedOn w:val="Normal"/>
    <w:link w:val="ReferenceChar"/>
    <w:uiPriority w:val="1"/>
    <w:qFormat/>
    <w:rsid w:val="00305C0E"/>
    <w:pPr>
      <w:spacing w:line="360" w:lineRule="auto"/>
      <w:ind w:left="360" w:hanging="360"/>
    </w:pPr>
    <w:rPr>
      <w:rFonts w:eastAsia="Aptos" w:cs="Aptos"/>
    </w:rPr>
  </w:style>
  <w:style w:type="character" w:customStyle="1" w:styleId="ReferenceChar">
    <w:name w:val="Reference Char"/>
    <w:basedOn w:val="DefaultParagraphFont"/>
    <w:link w:val="Reference"/>
    <w:uiPriority w:val="1"/>
    <w:rsid w:val="00305C0E"/>
    <w:rPr>
      <w:rFonts w:eastAsia="Aptos" w:cs="Aptos"/>
      <w:lang w:val="en-CA" w:eastAsia="en-US"/>
    </w:rPr>
  </w:style>
  <w:style w:type="paragraph" w:styleId="Header">
    <w:name w:val="header"/>
    <w:basedOn w:val="Normal"/>
    <w:uiPriority w:val="99"/>
    <w:unhideWhenUsed/>
    <w:rsid w:val="0CF19F9F"/>
    <w:pPr>
      <w:tabs>
        <w:tab w:val="center" w:pos="4680"/>
        <w:tab w:val="right" w:pos="9360"/>
      </w:tabs>
    </w:pPr>
  </w:style>
  <w:style w:type="paragraph" w:styleId="Footer">
    <w:name w:val="footer"/>
    <w:basedOn w:val="Normal"/>
    <w:uiPriority w:val="99"/>
    <w:unhideWhenUsed/>
    <w:rsid w:val="0CF19F9F"/>
    <w:pPr>
      <w:tabs>
        <w:tab w:val="center" w:pos="4680"/>
        <w:tab w:val="right" w:pos="9360"/>
      </w:tabs>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cs="Times New Roman"/>
      <w:sz w:val="20"/>
      <w:szCs w:val="20"/>
      <w:lang w:val="en-CA" w:eastAsia="en-US"/>
    </w:rPr>
  </w:style>
  <w:style w:type="character" w:styleId="CommentReference">
    <w:name w:val="annotation reference"/>
    <w:basedOn w:val="DefaultParagraphFont"/>
    <w:uiPriority w:val="99"/>
    <w:semiHidden/>
    <w:unhideWhenUsed/>
    <w:rPr>
      <w:sz w:val="16"/>
      <w:szCs w:val="16"/>
    </w:rPr>
  </w:style>
  <w:style w:type="paragraph" w:customStyle="1" w:styleId="Body">
    <w:name w:val="Body"/>
    <w:basedOn w:val="Normal"/>
    <w:qFormat/>
    <w:rsid w:val="00EC6AF7"/>
    <w:pPr>
      <w:spacing w:line="480" w:lineRule="auto"/>
      <w:ind w:firstLine="720"/>
    </w:pPr>
  </w:style>
  <w:style w:type="character" w:styleId="FollowedHyperlink">
    <w:name w:val="FollowedHyperlink"/>
    <w:basedOn w:val="DefaultParagraphFont"/>
    <w:uiPriority w:val="99"/>
    <w:semiHidden/>
    <w:unhideWhenUsed/>
    <w:rsid w:val="00433285"/>
    <w:rPr>
      <w:color w:val="96607D" w:themeColor="followedHyperlink"/>
      <w:u w:val="single"/>
    </w:rPr>
  </w:style>
  <w:style w:type="character" w:styleId="UnresolvedMention">
    <w:name w:val="Unresolved Mention"/>
    <w:basedOn w:val="DefaultParagraphFont"/>
    <w:uiPriority w:val="99"/>
    <w:semiHidden/>
    <w:unhideWhenUsed/>
    <w:rsid w:val="002E6DA8"/>
    <w:rPr>
      <w:color w:val="605E5C"/>
      <w:shd w:val="clear" w:color="auto" w:fill="E1DFDD"/>
    </w:rPr>
  </w:style>
  <w:style w:type="paragraph" w:styleId="NormalWeb">
    <w:name w:val="Normal (Web)"/>
    <w:basedOn w:val="Normal"/>
    <w:uiPriority w:val="99"/>
    <w:unhideWhenUsed/>
    <w:rsid w:val="001863D0"/>
    <w:pPr>
      <w:spacing w:before="100" w:beforeAutospacing="1" w:after="100" w:afterAutospacing="1"/>
    </w:pPr>
    <w:rPr>
      <w:rFonts w:ascii="Times New Roman" w:hAnsi="Times New Roman"/>
    </w:rPr>
  </w:style>
  <w:style w:type="character" w:customStyle="1" w:styleId="highlight">
    <w:name w:val="highlight"/>
    <w:basedOn w:val="DefaultParagraphFont"/>
    <w:rsid w:val="001863D0"/>
  </w:style>
  <w:style w:type="character" w:customStyle="1" w:styleId="citation">
    <w:name w:val="citation"/>
    <w:basedOn w:val="DefaultParagraphFont"/>
    <w:rsid w:val="001863D0"/>
  </w:style>
  <w:style w:type="character" w:customStyle="1" w:styleId="citation-item">
    <w:name w:val="citation-item"/>
    <w:basedOn w:val="DefaultParagraphFont"/>
    <w:rsid w:val="001863D0"/>
  </w:style>
  <w:style w:type="paragraph" w:styleId="CommentSubject">
    <w:name w:val="annotation subject"/>
    <w:basedOn w:val="CommentText"/>
    <w:next w:val="CommentText"/>
    <w:link w:val="CommentSubjectChar"/>
    <w:uiPriority w:val="99"/>
    <w:semiHidden/>
    <w:unhideWhenUsed/>
    <w:rsid w:val="0061047C"/>
    <w:rPr>
      <w:b/>
      <w:bCs/>
    </w:rPr>
  </w:style>
  <w:style w:type="character" w:customStyle="1" w:styleId="CommentSubjectChar">
    <w:name w:val="Comment Subject Char"/>
    <w:basedOn w:val="CommentTextChar"/>
    <w:link w:val="CommentSubject"/>
    <w:uiPriority w:val="99"/>
    <w:semiHidden/>
    <w:rsid w:val="0061047C"/>
    <w:rPr>
      <w:rFonts w:eastAsia="Times New Roman" w:cs="Times New Roman"/>
      <w:b/>
      <w:bCs/>
      <w:sz w:val="20"/>
      <w:szCs w:val="20"/>
      <w:lang w:val="en-CA" w:eastAsia="en-US"/>
    </w:rPr>
  </w:style>
  <w:style w:type="paragraph" w:styleId="NoSpacing">
    <w:name w:val="No Spacing"/>
    <w:uiPriority w:val="1"/>
    <w:qFormat/>
    <w:rsid w:val="00D2393A"/>
    <w:pPr>
      <w:spacing w:after="0" w:line="240" w:lineRule="auto"/>
    </w:pPr>
    <w:rPr>
      <w:lang w:val="en-CA"/>
    </w:rPr>
  </w:style>
  <w:style w:type="character" w:styleId="Emphasis">
    <w:name w:val="Emphasis"/>
    <w:basedOn w:val="DefaultParagraphFont"/>
    <w:uiPriority w:val="20"/>
    <w:qFormat/>
    <w:rsid w:val="00D2393A"/>
    <w:rPr>
      <w:i/>
      <w:iCs/>
    </w:rPr>
  </w:style>
  <w:style w:type="paragraph" w:styleId="Revision">
    <w:name w:val="Revision"/>
    <w:hidden/>
    <w:uiPriority w:val="99"/>
    <w:semiHidden/>
    <w:rsid w:val="00A715BB"/>
    <w:pPr>
      <w:spacing w:after="0" w:line="240" w:lineRule="auto"/>
    </w:pPr>
  </w:style>
  <w:style w:type="paragraph" w:styleId="FootnoteText">
    <w:name w:val="footnote text"/>
    <w:basedOn w:val="Normal"/>
    <w:link w:val="FootnoteTextChar"/>
    <w:uiPriority w:val="99"/>
    <w:unhideWhenUsed/>
    <w:rsid w:val="00E32EF8"/>
    <w:pPr>
      <w:spacing w:line="240" w:lineRule="auto"/>
    </w:pPr>
    <w:rPr>
      <w:sz w:val="20"/>
      <w:szCs w:val="20"/>
    </w:rPr>
  </w:style>
  <w:style w:type="character" w:customStyle="1" w:styleId="FootnoteTextChar">
    <w:name w:val="Footnote Text Char"/>
    <w:basedOn w:val="DefaultParagraphFont"/>
    <w:link w:val="FootnoteText"/>
    <w:uiPriority w:val="99"/>
    <w:rsid w:val="00E32EF8"/>
    <w:rPr>
      <w:sz w:val="20"/>
      <w:szCs w:val="20"/>
    </w:rPr>
  </w:style>
  <w:style w:type="character" w:styleId="FootnoteReference">
    <w:name w:val="footnote reference"/>
    <w:basedOn w:val="DefaultParagraphFont"/>
    <w:uiPriority w:val="99"/>
    <w:semiHidden/>
    <w:unhideWhenUsed/>
    <w:rsid w:val="00E32EF8"/>
    <w:rPr>
      <w:vertAlign w:val="superscript"/>
    </w:rPr>
  </w:style>
  <w:style w:type="paragraph" w:styleId="ListBullet">
    <w:name w:val="List Bullet"/>
    <w:basedOn w:val="Normal"/>
    <w:uiPriority w:val="99"/>
    <w:unhideWhenUsed/>
    <w:rsid w:val="00265F30"/>
    <w:pPr>
      <w:numPr>
        <w:numId w:val="5"/>
      </w:numPr>
      <w:ind w:left="0" w:firstLine="0"/>
      <w:contextualSpacing/>
    </w:pPr>
  </w:style>
  <w:style w:type="paragraph" w:customStyle="1" w:styleId="msonormal0">
    <w:name w:val="msonormal"/>
    <w:basedOn w:val="Normal"/>
    <w:rsid w:val="00CD24EB"/>
    <w:pPr>
      <w:spacing w:before="100" w:beforeAutospacing="1" w:after="100" w:afterAutospacing="1"/>
    </w:pPr>
    <w:rPr>
      <w:rFonts w:ascii="Times New Roman" w:hAnsi="Times New Roman"/>
    </w:rPr>
  </w:style>
  <w:style w:type="paragraph" w:customStyle="1" w:styleId="paragraph">
    <w:name w:val="paragraph"/>
    <w:basedOn w:val="Normal"/>
    <w:rsid w:val="00CD24EB"/>
    <w:pPr>
      <w:spacing w:before="100" w:beforeAutospacing="1" w:after="100" w:afterAutospacing="1"/>
    </w:pPr>
    <w:rPr>
      <w:rFonts w:ascii="Times New Roman" w:hAnsi="Times New Roman"/>
    </w:rPr>
  </w:style>
  <w:style w:type="character" w:customStyle="1" w:styleId="textrun">
    <w:name w:val="textrun"/>
    <w:basedOn w:val="DefaultParagraphFont"/>
    <w:rsid w:val="00A9524C"/>
  </w:style>
  <w:style w:type="character" w:customStyle="1" w:styleId="normaltextrun">
    <w:name w:val="normaltextrun"/>
    <w:basedOn w:val="DefaultParagraphFont"/>
    <w:rsid w:val="00A9524C"/>
  </w:style>
  <w:style w:type="character" w:customStyle="1" w:styleId="eop">
    <w:name w:val="eop"/>
    <w:basedOn w:val="DefaultParagraphFont"/>
    <w:rsid w:val="00A9524C"/>
  </w:style>
  <w:style w:type="paragraph" w:customStyle="1" w:styleId="outlineelement">
    <w:name w:val="outlineelement"/>
    <w:basedOn w:val="Normal"/>
    <w:rsid w:val="00CD24EB"/>
    <w:pPr>
      <w:spacing w:before="100" w:beforeAutospacing="1" w:after="100" w:afterAutospacing="1"/>
    </w:pPr>
    <w:rPr>
      <w:rFonts w:ascii="Times New Roman" w:hAnsi="Times New Roman"/>
    </w:rPr>
  </w:style>
  <w:style w:type="character" w:customStyle="1" w:styleId="pagebreakblob">
    <w:name w:val="pagebreakblob"/>
    <w:basedOn w:val="DefaultParagraphFont"/>
    <w:rsid w:val="00A9524C"/>
  </w:style>
  <w:style w:type="character" w:customStyle="1" w:styleId="pagebreaktextspan">
    <w:name w:val="pagebreaktextspan"/>
    <w:basedOn w:val="DefaultParagraphFont"/>
    <w:rsid w:val="00A9524C"/>
  </w:style>
  <w:style w:type="character" w:customStyle="1" w:styleId="pagebreakborderspan">
    <w:name w:val="pagebreakborderspan"/>
    <w:basedOn w:val="DefaultParagraphFont"/>
    <w:rsid w:val="00A9524C"/>
  </w:style>
  <w:style w:type="character" w:customStyle="1" w:styleId="scxw243357171">
    <w:name w:val="scxw243357171"/>
    <w:basedOn w:val="DefaultParagraphFont"/>
    <w:rsid w:val="00A9524C"/>
  </w:style>
  <w:style w:type="character" w:customStyle="1" w:styleId="wacimagecontainer">
    <w:name w:val="wacimagecontainer"/>
    <w:basedOn w:val="DefaultParagraphFont"/>
    <w:rsid w:val="00A9524C"/>
  </w:style>
  <w:style w:type="paragraph" w:styleId="Caption">
    <w:name w:val="caption"/>
    <w:basedOn w:val="Normal"/>
    <w:next w:val="Normal"/>
    <w:uiPriority w:val="35"/>
    <w:unhideWhenUsed/>
    <w:qFormat/>
    <w:rsid w:val="00FE29F2"/>
    <w:pPr>
      <w:keepNext/>
    </w:pPr>
    <w:rPr>
      <w:i/>
      <w:iCs/>
      <w:color w:val="0E2841" w:themeColor="text2"/>
      <w:sz w:val="18"/>
      <w:szCs w:val="18"/>
    </w:rPr>
  </w:style>
  <w:style w:type="character" w:styleId="PlaceholderText">
    <w:name w:val="Placeholder Text"/>
    <w:basedOn w:val="DefaultParagraphFont"/>
    <w:uiPriority w:val="99"/>
    <w:semiHidden/>
    <w:rsid w:val="00D81560"/>
    <w:rPr>
      <w:color w:val="666666"/>
    </w:rPr>
  </w:style>
  <w:style w:type="paragraph" w:customStyle="1" w:styleId="Attribution">
    <w:name w:val="Attribution"/>
    <w:basedOn w:val="Normal"/>
    <w:qFormat/>
    <w:rsid w:val="00607AB2"/>
    <w:pPr>
      <w:spacing w:after="240"/>
      <w:jc w:val="right"/>
    </w:pPr>
  </w:style>
  <w:style w:type="paragraph" w:styleId="TableofFigures">
    <w:name w:val="table of figures"/>
    <w:basedOn w:val="Normal"/>
    <w:next w:val="Normal"/>
    <w:uiPriority w:val="99"/>
    <w:unhideWhenUsed/>
    <w:rsid w:val="00607AB2"/>
  </w:style>
  <w:style w:type="paragraph" w:styleId="TOCHeading">
    <w:name w:val="TOC Heading"/>
    <w:basedOn w:val="Heading1"/>
    <w:next w:val="Normal"/>
    <w:uiPriority w:val="39"/>
    <w:unhideWhenUsed/>
    <w:qFormat/>
    <w:rsid w:val="00AF4A14"/>
    <w:pPr>
      <w:spacing w:before="240" w:line="259" w:lineRule="auto"/>
      <w:outlineLvl w:val="9"/>
    </w:pPr>
    <w:rPr>
      <w:sz w:val="32"/>
      <w:szCs w:val="32"/>
      <w:lang w:val="en-US"/>
    </w:rPr>
  </w:style>
  <w:style w:type="paragraph" w:customStyle="1" w:styleId="KeywordsH3">
    <w:name w:val="Keywords H3"/>
    <w:basedOn w:val="Heading3"/>
    <w:qFormat/>
    <w:rsid w:val="00812AA5"/>
    <w:pPr>
      <w:spacing w:before="6000" w:after="0"/>
    </w:pPr>
  </w:style>
  <w:style w:type="paragraph" w:styleId="BalloonText">
    <w:name w:val="Balloon Text"/>
    <w:basedOn w:val="Normal"/>
    <w:link w:val="BalloonTextChar"/>
    <w:uiPriority w:val="99"/>
    <w:semiHidden/>
    <w:unhideWhenUsed/>
    <w:rsid w:val="00241B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BF6"/>
    <w:rPr>
      <w:rFonts w:ascii="Segoe UI" w:eastAsia="Times New Roman" w:hAnsi="Segoe UI" w:cs="Segoe UI"/>
      <w:sz w:val="18"/>
      <w:szCs w:val="18"/>
      <w:lang w:val="en-CA" w:eastAsia="en-US"/>
    </w:rPr>
  </w:style>
  <w:style w:type="paragraph" w:styleId="Bibliography">
    <w:name w:val="Bibliography"/>
    <w:basedOn w:val="Normal"/>
    <w:next w:val="Normal"/>
    <w:uiPriority w:val="37"/>
    <w:semiHidden/>
    <w:unhideWhenUsed/>
    <w:rsid w:val="00241BF6"/>
  </w:style>
  <w:style w:type="paragraph" w:styleId="BlockText">
    <w:name w:val="Block Text"/>
    <w:basedOn w:val="Normal"/>
    <w:uiPriority w:val="99"/>
    <w:semiHidden/>
    <w:unhideWhenUsed/>
    <w:rsid w:val="00241BF6"/>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cstheme="minorBidi"/>
      <w:i/>
      <w:iCs/>
      <w:color w:val="156082" w:themeColor="accent1"/>
    </w:rPr>
  </w:style>
  <w:style w:type="paragraph" w:styleId="BodyText">
    <w:name w:val="Body Text"/>
    <w:basedOn w:val="Normal"/>
    <w:link w:val="BodyTextChar"/>
    <w:uiPriority w:val="99"/>
    <w:semiHidden/>
    <w:unhideWhenUsed/>
    <w:rsid w:val="00241BF6"/>
    <w:pPr>
      <w:spacing w:after="120"/>
    </w:pPr>
  </w:style>
  <w:style w:type="character" w:customStyle="1" w:styleId="BodyTextChar">
    <w:name w:val="Body Text Char"/>
    <w:basedOn w:val="DefaultParagraphFont"/>
    <w:link w:val="BodyText"/>
    <w:uiPriority w:val="99"/>
    <w:semiHidden/>
    <w:rsid w:val="00241BF6"/>
    <w:rPr>
      <w:rFonts w:eastAsia="Times New Roman" w:cs="Times New Roman"/>
      <w:lang w:val="en-CA" w:eastAsia="en-US"/>
    </w:rPr>
  </w:style>
  <w:style w:type="paragraph" w:styleId="BodyText2">
    <w:name w:val="Body Text 2"/>
    <w:basedOn w:val="Normal"/>
    <w:link w:val="BodyText2Char"/>
    <w:uiPriority w:val="99"/>
    <w:semiHidden/>
    <w:unhideWhenUsed/>
    <w:rsid w:val="00241BF6"/>
    <w:pPr>
      <w:spacing w:after="120" w:line="480" w:lineRule="auto"/>
    </w:pPr>
  </w:style>
  <w:style w:type="character" w:customStyle="1" w:styleId="BodyText2Char">
    <w:name w:val="Body Text 2 Char"/>
    <w:basedOn w:val="DefaultParagraphFont"/>
    <w:link w:val="BodyText2"/>
    <w:uiPriority w:val="99"/>
    <w:semiHidden/>
    <w:rsid w:val="00241BF6"/>
    <w:rPr>
      <w:rFonts w:eastAsia="Times New Roman" w:cs="Times New Roman"/>
      <w:lang w:val="en-CA" w:eastAsia="en-US"/>
    </w:rPr>
  </w:style>
  <w:style w:type="paragraph" w:styleId="BodyText3">
    <w:name w:val="Body Text 3"/>
    <w:basedOn w:val="Normal"/>
    <w:link w:val="BodyText3Char"/>
    <w:uiPriority w:val="99"/>
    <w:semiHidden/>
    <w:unhideWhenUsed/>
    <w:rsid w:val="00241BF6"/>
    <w:pPr>
      <w:spacing w:after="120"/>
    </w:pPr>
    <w:rPr>
      <w:sz w:val="16"/>
      <w:szCs w:val="16"/>
    </w:rPr>
  </w:style>
  <w:style w:type="character" w:customStyle="1" w:styleId="BodyText3Char">
    <w:name w:val="Body Text 3 Char"/>
    <w:basedOn w:val="DefaultParagraphFont"/>
    <w:link w:val="BodyText3"/>
    <w:uiPriority w:val="99"/>
    <w:semiHidden/>
    <w:rsid w:val="00241BF6"/>
    <w:rPr>
      <w:rFonts w:eastAsia="Times New Roman" w:cs="Times New Roman"/>
      <w:sz w:val="16"/>
      <w:szCs w:val="16"/>
      <w:lang w:val="en-CA" w:eastAsia="en-US"/>
    </w:rPr>
  </w:style>
  <w:style w:type="paragraph" w:styleId="BodyTextFirstIndent">
    <w:name w:val="Body Text First Indent"/>
    <w:basedOn w:val="BodyText"/>
    <w:link w:val="BodyTextFirstIndentChar"/>
    <w:uiPriority w:val="99"/>
    <w:semiHidden/>
    <w:unhideWhenUsed/>
    <w:rsid w:val="00241BF6"/>
    <w:pPr>
      <w:spacing w:after="0"/>
      <w:ind w:firstLine="360"/>
    </w:pPr>
  </w:style>
  <w:style w:type="character" w:customStyle="1" w:styleId="BodyTextFirstIndentChar">
    <w:name w:val="Body Text First Indent Char"/>
    <w:basedOn w:val="BodyTextChar"/>
    <w:link w:val="BodyTextFirstIndent"/>
    <w:uiPriority w:val="99"/>
    <w:semiHidden/>
    <w:rsid w:val="00241BF6"/>
    <w:rPr>
      <w:rFonts w:eastAsia="Times New Roman" w:cs="Times New Roman"/>
      <w:lang w:val="en-CA" w:eastAsia="en-US"/>
    </w:rPr>
  </w:style>
  <w:style w:type="paragraph" w:styleId="BodyTextIndent">
    <w:name w:val="Body Text Indent"/>
    <w:basedOn w:val="Normal"/>
    <w:link w:val="BodyTextIndentChar"/>
    <w:uiPriority w:val="99"/>
    <w:semiHidden/>
    <w:unhideWhenUsed/>
    <w:rsid w:val="00241BF6"/>
    <w:pPr>
      <w:spacing w:after="120"/>
      <w:ind w:left="283"/>
    </w:pPr>
  </w:style>
  <w:style w:type="character" w:customStyle="1" w:styleId="BodyTextIndentChar">
    <w:name w:val="Body Text Indent Char"/>
    <w:basedOn w:val="DefaultParagraphFont"/>
    <w:link w:val="BodyTextIndent"/>
    <w:uiPriority w:val="99"/>
    <w:semiHidden/>
    <w:rsid w:val="00241BF6"/>
    <w:rPr>
      <w:rFonts w:eastAsia="Times New Roman" w:cs="Times New Roman"/>
      <w:lang w:val="en-CA" w:eastAsia="en-US"/>
    </w:rPr>
  </w:style>
  <w:style w:type="paragraph" w:styleId="BodyTextFirstIndent2">
    <w:name w:val="Body Text First Indent 2"/>
    <w:basedOn w:val="BodyTextIndent"/>
    <w:link w:val="BodyTextFirstIndent2Char"/>
    <w:uiPriority w:val="99"/>
    <w:semiHidden/>
    <w:unhideWhenUsed/>
    <w:rsid w:val="00241BF6"/>
    <w:pPr>
      <w:spacing w:after="0"/>
      <w:ind w:left="360" w:firstLine="360"/>
    </w:pPr>
  </w:style>
  <w:style w:type="character" w:customStyle="1" w:styleId="BodyTextFirstIndent2Char">
    <w:name w:val="Body Text First Indent 2 Char"/>
    <w:basedOn w:val="BodyTextIndentChar"/>
    <w:link w:val="BodyTextFirstIndent2"/>
    <w:uiPriority w:val="99"/>
    <w:semiHidden/>
    <w:rsid w:val="00241BF6"/>
    <w:rPr>
      <w:rFonts w:eastAsia="Times New Roman" w:cs="Times New Roman"/>
      <w:lang w:val="en-CA" w:eastAsia="en-US"/>
    </w:rPr>
  </w:style>
  <w:style w:type="paragraph" w:styleId="BodyTextIndent2">
    <w:name w:val="Body Text Indent 2"/>
    <w:basedOn w:val="Normal"/>
    <w:link w:val="BodyTextIndent2Char"/>
    <w:uiPriority w:val="99"/>
    <w:semiHidden/>
    <w:unhideWhenUsed/>
    <w:rsid w:val="00241BF6"/>
    <w:pPr>
      <w:spacing w:after="120" w:line="480" w:lineRule="auto"/>
      <w:ind w:left="283"/>
    </w:pPr>
  </w:style>
  <w:style w:type="character" w:customStyle="1" w:styleId="BodyTextIndent2Char">
    <w:name w:val="Body Text Indent 2 Char"/>
    <w:basedOn w:val="DefaultParagraphFont"/>
    <w:link w:val="BodyTextIndent2"/>
    <w:uiPriority w:val="99"/>
    <w:semiHidden/>
    <w:rsid w:val="00241BF6"/>
    <w:rPr>
      <w:rFonts w:eastAsia="Times New Roman" w:cs="Times New Roman"/>
      <w:lang w:val="en-CA" w:eastAsia="en-US"/>
    </w:rPr>
  </w:style>
  <w:style w:type="paragraph" w:styleId="BodyTextIndent3">
    <w:name w:val="Body Text Indent 3"/>
    <w:basedOn w:val="Normal"/>
    <w:link w:val="BodyTextIndent3Char"/>
    <w:uiPriority w:val="99"/>
    <w:semiHidden/>
    <w:unhideWhenUsed/>
    <w:rsid w:val="00241BF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41BF6"/>
    <w:rPr>
      <w:rFonts w:eastAsia="Times New Roman" w:cs="Times New Roman"/>
      <w:sz w:val="16"/>
      <w:szCs w:val="16"/>
      <w:lang w:val="en-CA" w:eastAsia="en-US"/>
    </w:rPr>
  </w:style>
  <w:style w:type="paragraph" w:styleId="Closing">
    <w:name w:val="Closing"/>
    <w:basedOn w:val="Normal"/>
    <w:link w:val="ClosingChar"/>
    <w:uiPriority w:val="99"/>
    <w:semiHidden/>
    <w:unhideWhenUsed/>
    <w:rsid w:val="00241BF6"/>
    <w:pPr>
      <w:spacing w:line="240" w:lineRule="auto"/>
      <w:ind w:left="4252"/>
    </w:pPr>
  </w:style>
  <w:style w:type="character" w:customStyle="1" w:styleId="ClosingChar">
    <w:name w:val="Closing Char"/>
    <w:basedOn w:val="DefaultParagraphFont"/>
    <w:link w:val="Closing"/>
    <w:uiPriority w:val="99"/>
    <w:semiHidden/>
    <w:rsid w:val="00241BF6"/>
    <w:rPr>
      <w:rFonts w:eastAsia="Times New Roman" w:cs="Times New Roman"/>
      <w:lang w:val="en-CA" w:eastAsia="en-US"/>
    </w:rPr>
  </w:style>
  <w:style w:type="paragraph" w:styleId="Date">
    <w:name w:val="Date"/>
    <w:basedOn w:val="Normal"/>
    <w:next w:val="Normal"/>
    <w:link w:val="DateChar"/>
    <w:uiPriority w:val="99"/>
    <w:semiHidden/>
    <w:unhideWhenUsed/>
    <w:rsid w:val="00241BF6"/>
  </w:style>
  <w:style w:type="character" w:customStyle="1" w:styleId="DateChar">
    <w:name w:val="Date Char"/>
    <w:basedOn w:val="DefaultParagraphFont"/>
    <w:link w:val="Date"/>
    <w:uiPriority w:val="99"/>
    <w:semiHidden/>
    <w:rsid w:val="00241BF6"/>
    <w:rPr>
      <w:rFonts w:eastAsia="Times New Roman" w:cs="Times New Roman"/>
      <w:lang w:val="en-CA" w:eastAsia="en-US"/>
    </w:rPr>
  </w:style>
  <w:style w:type="paragraph" w:styleId="DocumentMap">
    <w:name w:val="Document Map"/>
    <w:basedOn w:val="Normal"/>
    <w:link w:val="DocumentMapChar"/>
    <w:uiPriority w:val="99"/>
    <w:semiHidden/>
    <w:unhideWhenUsed/>
    <w:rsid w:val="00241BF6"/>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41BF6"/>
    <w:rPr>
      <w:rFonts w:ascii="Segoe UI" w:eastAsia="Times New Roman" w:hAnsi="Segoe UI" w:cs="Segoe UI"/>
      <w:sz w:val="16"/>
      <w:szCs w:val="16"/>
      <w:lang w:val="en-CA" w:eastAsia="en-US"/>
    </w:rPr>
  </w:style>
  <w:style w:type="paragraph" w:styleId="E-mailSignature">
    <w:name w:val="E-mail Signature"/>
    <w:basedOn w:val="Normal"/>
    <w:link w:val="E-mailSignatureChar"/>
    <w:uiPriority w:val="99"/>
    <w:semiHidden/>
    <w:unhideWhenUsed/>
    <w:rsid w:val="00241BF6"/>
    <w:pPr>
      <w:spacing w:line="240" w:lineRule="auto"/>
    </w:pPr>
  </w:style>
  <w:style w:type="character" w:customStyle="1" w:styleId="E-mailSignatureChar">
    <w:name w:val="E-mail Signature Char"/>
    <w:basedOn w:val="DefaultParagraphFont"/>
    <w:link w:val="E-mailSignature"/>
    <w:uiPriority w:val="99"/>
    <w:semiHidden/>
    <w:rsid w:val="00241BF6"/>
    <w:rPr>
      <w:rFonts w:eastAsia="Times New Roman" w:cs="Times New Roman"/>
      <w:lang w:val="en-CA" w:eastAsia="en-US"/>
    </w:rPr>
  </w:style>
  <w:style w:type="paragraph" w:styleId="EndnoteText">
    <w:name w:val="endnote text"/>
    <w:basedOn w:val="Normal"/>
    <w:link w:val="EndnoteTextChar"/>
    <w:uiPriority w:val="99"/>
    <w:semiHidden/>
    <w:unhideWhenUsed/>
    <w:rsid w:val="00241BF6"/>
    <w:pPr>
      <w:spacing w:line="240" w:lineRule="auto"/>
    </w:pPr>
    <w:rPr>
      <w:sz w:val="20"/>
      <w:szCs w:val="20"/>
    </w:rPr>
  </w:style>
  <w:style w:type="character" w:customStyle="1" w:styleId="EndnoteTextChar">
    <w:name w:val="Endnote Text Char"/>
    <w:basedOn w:val="DefaultParagraphFont"/>
    <w:link w:val="EndnoteText"/>
    <w:uiPriority w:val="99"/>
    <w:semiHidden/>
    <w:rsid w:val="00241BF6"/>
    <w:rPr>
      <w:rFonts w:eastAsia="Times New Roman" w:cs="Times New Roman"/>
      <w:sz w:val="20"/>
      <w:szCs w:val="20"/>
      <w:lang w:val="en-CA" w:eastAsia="en-US"/>
    </w:rPr>
  </w:style>
  <w:style w:type="paragraph" w:styleId="EnvelopeAddress">
    <w:name w:val="envelope address"/>
    <w:basedOn w:val="Normal"/>
    <w:uiPriority w:val="99"/>
    <w:semiHidden/>
    <w:unhideWhenUsed/>
    <w:rsid w:val="00241BF6"/>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41BF6"/>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41BF6"/>
    <w:pPr>
      <w:spacing w:line="240" w:lineRule="auto"/>
    </w:pPr>
    <w:rPr>
      <w:i/>
      <w:iCs/>
    </w:rPr>
  </w:style>
  <w:style w:type="character" w:customStyle="1" w:styleId="HTMLAddressChar">
    <w:name w:val="HTML Address Char"/>
    <w:basedOn w:val="DefaultParagraphFont"/>
    <w:link w:val="HTMLAddress"/>
    <w:uiPriority w:val="99"/>
    <w:semiHidden/>
    <w:rsid w:val="00241BF6"/>
    <w:rPr>
      <w:rFonts w:eastAsia="Times New Roman" w:cs="Times New Roman"/>
      <w:i/>
      <w:iCs/>
      <w:lang w:val="en-CA" w:eastAsia="en-US"/>
    </w:rPr>
  </w:style>
  <w:style w:type="paragraph" w:styleId="HTMLPreformatted">
    <w:name w:val="HTML Preformatted"/>
    <w:basedOn w:val="Normal"/>
    <w:link w:val="HTMLPreformattedChar"/>
    <w:uiPriority w:val="99"/>
    <w:semiHidden/>
    <w:unhideWhenUsed/>
    <w:rsid w:val="00241BF6"/>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41BF6"/>
    <w:rPr>
      <w:rFonts w:ascii="Consolas" w:eastAsia="Times New Roman" w:hAnsi="Consolas" w:cs="Times New Roman"/>
      <w:sz w:val="20"/>
      <w:szCs w:val="20"/>
      <w:lang w:val="en-CA" w:eastAsia="en-US"/>
    </w:rPr>
  </w:style>
  <w:style w:type="paragraph" w:styleId="Index1">
    <w:name w:val="index 1"/>
    <w:basedOn w:val="Normal"/>
    <w:next w:val="Normal"/>
    <w:autoRedefine/>
    <w:uiPriority w:val="99"/>
    <w:semiHidden/>
    <w:unhideWhenUsed/>
    <w:rsid w:val="00241BF6"/>
    <w:pPr>
      <w:spacing w:line="240" w:lineRule="auto"/>
      <w:ind w:left="240" w:hanging="240"/>
    </w:pPr>
  </w:style>
  <w:style w:type="paragraph" w:styleId="Index2">
    <w:name w:val="index 2"/>
    <w:basedOn w:val="Normal"/>
    <w:next w:val="Normal"/>
    <w:autoRedefine/>
    <w:uiPriority w:val="99"/>
    <w:semiHidden/>
    <w:unhideWhenUsed/>
    <w:rsid w:val="00241BF6"/>
    <w:pPr>
      <w:spacing w:line="240" w:lineRule="auto"/>
      <w:ind w:left="480" w:hanging="240"/>
    </w:pPr>
  </w:style>
  <w:style w:type="paragraph" w:styleId="Index3">
    <w:name w:val="index 3"/>
    <w:basedOn w:val="Normal"/>
    <w:next w:val="Normal"/>
    <w:autoRedefine/>
    <w:uiPriority w:val="99"/>
    <w:semiHidden/>
    <w:unhideWhenUsed/>
    <w:rsid w:val="00241BF6"/>
    <w:pPr>
      <w:spacing w:line="240" w:lineRule="auto"/>
      <w:ind w:left="720" w:hanging="240"/>
    </w:pPr>
  </w:style>
  <w:style w:type="paragraph" w:styleId="Index4">
    <w:name w:val="index 4"/>
    <w:basedOn w:val="Normal"/>
    <w:next w:val="Normal"/>
    <w:autoRedefine/>
    <w:uiPriority w:val="99"/>
    <w:semiHidden/>
    <w:unhideWhenUsed/>
    <w:rsid w:val="00241BF6"/>
    <w:pPr>
      <w:spacing w:line="240" w:lineRule="auto"/>
      <w:ind w:left="960" w:hanging="240"/>
    </w:pPr>
  </w:style>
  <w:style w:type="paragraph" w:styleId="Index5">
    <w:name w:val="index 5"/>
    <w:basedOn w:val="Normal"/>
    <w:next w:val="Normal"/>
    <w:autoRedefine/>
    <w:uiPriority w:val="99"/>
    <w:semiHidden/>
    <w:unhideWhenUsed/>
    <w:rsid w:val="00241BF6"/>
    <w:pPr>
      <w:spacing w:line="240" w:lineRule="auto"/>
      <w:ind w:left="1200" w:hanging="240"/>
    </w:pPr>
  </w:style>
  <w:style w:type="paragraph" w:styleId="Index6">
    <w:name w:val="index 6"/>
    <w:basedOn w:val="Normal"/>
    <w:next w:val="Normal"/>
    <w:autoRedefine/>
    <w:uiPriority w:val="99"/>
    <w:semiHidden/>
    <w:unhideWhenUsed/>
    <w:rsid w:val="00241BF6"/>
    <w:pPr>
      <w:spacing w:line="240" w:lineRule="auto"/>
      <w:ind w:left="1440" w:hanging="240"/>
    </w:pPr>
  </w:style>
  <w:style w:type="paragraph" w:styleId="Index7">
    <w:name w:val="index 7"/>
    <w:basedOn w:val="Normal"/>
    <w:next w:val="Normal"/>
    <w:autoRedefine/>
    <w:uiPriority w:val="99"/>
    <w:semiHidden/>
    <w:unhideWhenUsed/>
    <w:rsid w:val="00241BF6"/>
    <w:pPr>
      <w:spacing w:line="240" w:lineRule="auto"/>
      <w:ind w:left="1680" w:hanging="240"/>
    </w:pPr>
  </w:style>
  <w:style w:type="paragraph" w:styleId="Index8">
    <w:name w:val="index 8"/>
    <w:basedOn w:val="Normal"/>
    <w:next w:val="Normal"/>
    <w:autoRedefine/>
    <w:uiPriority w:val="99"/>
    <w:semiHidden/>
    <w:unhideWhenUsed/>
    <w:rsid w:val="00241BF6"/>
    <w:pPr>
      <w:spacing w:line="240" w:lineRule="auto"/>
      <w:ind w:left="1920" w:hanging="240"/>
    </w:pPr>
  </w:style>
  <w:style w:type="paragraph" w:styleId="Index9">
    <w:name w:val="index 9"/>
    <w:basedOn w:val="Normal"/>
    <w:next w:val="Normal"/>
    <w:autoRedefine/>
    <w:uiPriority w:val="99"/>
    <w:semiHidden/>
    <w:unhideWhenUsed/>
    <w:rsid w:val="00241BF6"/>
    <w:pPr>
      <w:spacing w:line="240" w:lineRule="auto"/>
      <w:ind w:left="2160" w:hanging="240"/>
    </w:pPr>
  </w:style>
  <w:style w:type="paragraph" w:styleId="IndexHeading">
    <w:name w:val="index heading"/>
    <w:basedOn w:val="Normal"/>
    <w:next w:val="Index1"/>
    <w:uiPriority w:val="99"/>
    <w:semiHidden/>
    <w:unhideWhenUsed/>
    <w:rsid w:val="00241BF6"/>
    <w:rPr>
      <w:rFonts w:asciiTheme="majorHAnsi" w:eastAsiaTheme="majorEastAsia" w:hAnsiTheme="majorHAnsi" w:cstheme="majorBidi"/>
      <w:b/>
      <w:bCs/>
    </w:rPr>
  </w:style>
  <w:style w:type="paragraph" w:styleId="List">
    <w:name w:val="List"/>
    <w:basedOn w:val="Normal"/>
    <w:uiPriority w:val="99"/>
    <w:semiHidden/>
    <w:unhideWhenUsed/>
    <w:rsid w:val="00241BF6"/>
    <w:pPr>
      <w:ind w:left="283" w:hanging="283"/>
      <w:contextualSpacing/>
    </w:pPr>
  </w:style>
  <w:style w:type="paragraph" w:styleId="List2">
    <w:name w:val="List 2"/>
    <w:basedOn w:val="Normal"/>
    <w:uiPriority w:val="99"/>
    <w:semiHidden/>
    <w:unhideWhenUsed/>
    <w:rsid w:val="00241BF6"/>
    <w:pPr>
      <w:ind w:left="566" w:hanging="283"/>
      <w:contextualSpacing/>
    </w:pPr>
  </w:style>
  <w:style w:type="paragraph" w:styleId="List3">
    <w:name w:val="List 3"/>
    <w:basedOn w:val="Normal"/>
    <w:uiPriority w:val="99"/>
    <w:semiHidden/>
    <w:unhideWhenUsed/>
    <w:rsid w:val="00241BF6"/>
    <w:pPr>
      <w:ind w:left="849" w:hanging="283"/>
      <w:contextualSpacing/>
    </w:pPr>
  </w:style>
  <w:style w:type="paragraph" w:styleId="List4">
    <w:name w:val="List 4"/>
    <w:basedOn w:val="Normal"/>
    <w:uiPriority w:val="99"/>
    <w:semiHidden/>
    <w:unhideWhenUsed/>
    <w:rsid w:val="00241BF6"/>
    <w:pPr>
      <w:ind w:left="1132" w:hanging="283"/>
      <w:contextualSpacing/>
    </w:pPr>
  </w:style>
  <w:style w:type="paragraph" w:styleId="List5">
    <w:name w:val="List 5"/>
    <w:basedOn w:val="Normal"/>
    <w:uiPriority w:val="99"/>
    <w:semiHidden/>
    <w:unhideWhenUsed/>
    <w:rsid w:val="00241BF6"/>
    <w:pPr>
      <w:ind w:left="1415" w:hanging="283"/>
      <w:contextualSpacing/>
    </w:pPr>
  </w:style>
  <w:style w:type="paragraph" w:styleId="ListBullet2">
    <w:name w:val="List Bullet 2"/>
    <w:basedOn w:val="Normal"/>
    <w:uiPriority w:val="99"/>
    <w:semiHidden/>
    <w:unhideWhenUsed/>
    <w:rsid w:val="00241BF6"/>
    <w:pPr>
      <w:numPr>
        <w:numId w:val="29"/>
      </w:numPr>
      <w:contextualSpacing/>
    </w:pPr>
  </w:style>
  <w:style w:type="paragraph" w:styleId="ListBullet3">
    <w:name w:val="List Bullet 3"/>
    <w:basedOn w:val="Normal"/>
    <w:uiPriority w:val="99"/>
    <w:semiHidden/>
    <w:unhideWhenUsed/>
    <w:rsid w:val="00241BF6"/>
    <w:pPr>
      <w:numPr>
        <w:numId w:val="30"/>
      </w:numPr>
      <w:contextualSpacing/>
    </w:pPr>
  </w:style>
  <w:style w:type="paragraph" w:styleId="ListBullet4">
    <w:name w:val="List Bullet 4"/>
    <w:basedOn w:val="Normal"/>
    <w:uiPriority w:val="99"/>
    <w:semiHidden/>
    <w:unhideWhenUsed/>
    <w:rsid w:val="00241BF6"/>
    <w:pPr>
      <w:numPr>
        <w:numId w:val="31"/>
      </w:numPr>
      <w:contextualSpacing/>
    </w:pPr>
  </w:style>
  <w:style w:type="paragraph" w:styleId="ListBullet5">
    <w:name w:val="List Bullet 5"/>
    <w:basedOn w:val="Normal"/>
    <w:uiPriority w:val="99"/>
    <w:semiHidden/>
    <w:unhideWhenUsed/>
    <w:rsid w:val="00241BF6"/>
    <w:pPr>
      <w:numPr>
        <w:numId w:val="32"/>
      </w:numPr>
      <w:contextualSpacing/>
    </w:pPr>
  </w:style>
  <w:style w:type="paragraph" w:styleId="ListContinue">
    <w:name w:val="List Continue"/>
    <w:basedOn w:val="Normal"/>
    <w:uiPriority w:val="99"/>
    <w:semiHidden/>
    <w:unhideWhenUsed/>
    <w:rsid w:val="00241BF6"/>
    <w:pPr>
      <w:spacing w:after="120"/>
      <w:ind w:left="283"/>
      <w:contextualSpacing/>
    </w:pPr>
  </w:style>
  <w:style w:type="paragraph" w:styleId="ListContinue2">
    <w:name w:val="List Continue 2"/>
    <w:basedOn w:val="Normal"/>
    <w:uiPriority w:val="99"/>
    <w:semiHidden/>
    <w:unhideWhenUsed/>
    <w:rsid w:val="00241BF6"/>
    <w:pPr>
      <w:spacing w:after="120"/>
      <w:ind w:left="566"/>
      <w:contextualSpacing/>
    </w:pPr>
  </w:style>
  <w:style w:type="paragraph" w:styleId="ListContinue3">
    <w:name w:val="List Continue 3"/>
    <w:basedOn w:val="Normal"/>
    <w:uiPriority w:val="99"/>
    <w:semiHidden/>
    <w:unhideWhenUsed/>
    <w:rsid w:val="00241BF6"/>
    <w:pPr>
      <w:spacing w:after="120"/>
      <w:ind w:left="849"/>
      <w:contextualSpacing/>
    </w:pPr>
  </w:style>
  <w:style w:type="paragraph" w:styleId="ListContinue4">
    <w:name w:val="List Continue 4"/>
    <w:basedOn w:val="Normal"/>
    <w:uiPriority w:val="99"/>
    <w:semiHidden/>
    <w:unhideWhenUsed/>
    <w:rsid w:val="00241BF6"/>
    <w:pPr>
      <w:spacing w:after="120"/>
      <w:ind w:left="1132"/>
      <w:contextualSpacing/>
    </w:pPr>
  </w:style>
  <w:style w:type="paragraph" w:styleId="ListContinue5">
    <w:name w:val="List Continue 5"/>
    <w:basedOn w:val="Normal"/>
    <w:uiPriority w:val="99"/>
    <w:semiHidden/>
    <w:unhideWhenUsed/>
    <w:rsid w:val="00241BF6"/>
    <w:pPr>
      <w:spacing w:after="120"/>
      <w:ind w:left="1415"/>
      <w:contextualSpacing/>
    </w:pPr>
  </w:style>
  <w:style w:type="paragraph" w:styleId="ListNumber">
    <w:name w:val="List Number"/>
    <w:basedOn w:val="Normal"/>
    <w:uiPriority w:val="99"/>
    <w:semiHidden/>
    <w:unhideWhenUsed/>
    <w:rsid w:val="00241BF6"/>
    <w:pPr>
      <w:numPr>
        <w:numId w:val="33"/>
      </w:numPr>
      <w:contextualSpacing/>
    </w:pPr>
  </w:style>
  <w:style w:type="paragraph" w:styleId="ListNumber2">
    <w:name w:val="List Number 2"/>
    <w:basedOn w:val="Normal"/>
    <w:uiPriority w:val="99"/>
    <w:semiHidden/>
    <w:unhideWhenUsed/>
    <w:rsid w:val="00241BF6"/>
    <w:pPr>
      <w:numPr>
        <w:numId w:val="34"/>
      </w:numPr>
      <w:contextualSpacing/>
    </w:pPr>
  </w:style>
  <w:style w:type="paragraph" w:styleId="ListNumber3">
    <w:name w:val="List Number 3"/>
    <w:basedOn w:val="Normal"/>
    <w:uiPriority w:val="99"/>
    <w:semiHidden/>
    <w:unhideWhenUsed/>
    <w:rsid w:val="00241BF6"/>
    <w:pPr>
      <w:numPr>
        <w:numId w:val="35"/>
      </w:numPr>
      <w:contextualSpacing/>
    </w:pPr>
  </w:style>
  <w:style w:type="paragraph" w:styleId="ListNumber4">
    <w:name w:val="List Number 4"/>
    <w:basedOn w:val="Normal"/>
    <w:uiPriority w:val="99"/>
    <w:semiHidden/>
    <w:unhideWhenUsed/>
    <w:rsid w:val="00241BF6"/>
    <w:pPr>
      <w:numPr>
        <w:numId w:val="36"/>
      </w:numPr>
      <w:contextualSpacing/>
    </w:pPr>
  </w:style>
  <w:style w:type="paragraph" w:styleId="ListNumber5">
    <w:name w:val="List Number 5"/>
    <w:basedOn w:val="Normal"/>
    <w:uiPriority w:val="99"/>
    <w:semiHidden/>
    <w:unhideWhenUsed/>
    <w:rsid w:val="00241BF6"/>
    <w:pPr>
      <w:numPr>
        <w:numId w:val="37"/>
      </w:numPr>
      <w:contextualSpacing/>
    </w:pPr>
  </w:style>
  <w:style w:type="paragraph" w:styleId="MacroText">
    <w:name w:val="macro"/>
    <w:link w:val="MacroTextChar"/>
    <w:uiPriority w:val="99"/>
    <w:semiHidden/>
    <w:unhideWhenUsed/>
    <w:rsid w:val="00241BF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Times New Roman"/>
      <w:sz w:val="20"/>
      <w:szCs w:val="20"/>
      <w:lang w:val="en-CA" w:eastAsia="en-US"/>
    </w:rPr>
  </w:style>
  <w:style w:type="character" w:customStyle="1" w:styleId="MacroTextChar">
    <w:name w:val="Macro Text Char"/>
    <w:basedOn w:val="DefaultParagraphFont"/>
    <w:link w:val="MacroText"/>
    <w:uiPriority w:val="99"/>
    <w:semiHidden/>
    <w:rsid w:val="00241BF6"/>
    <w:rPr>
      <w:rFonts w:ascii="Consolas" w:eastAsia="Times New Roman" w:hAnsi="Consolas" w:cs="Times New Roman"/>
      <w:sz w:val="20"/>
      <w:szCs w:val="20"/>
      <w:lang w:val="en-CA" w:eastAsia="en-US"/>
    </w:rPr>
  </w:style>
  <w:style w:type="paragraph" w:styleId="MessageHeader">
    <w:name w:val="Message Header"/>
    <w:basedOn w:val="Normal"/>
    <w:link w:val="MessageHeaderChar"/>
    <w:uiPriority w:val="99"/>
    <w:semiHidden/>
    <w:unhideWhenUsed/>
    <w:rsid w:val="00241BF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41BF6"/>
    <w:rPr>
      <w:rFonts w:asciiTheme="majorHAnsi" w:eastAsiaTheme="majorEastAsia" w:hAnsiTheme="majorHAnsi" w:cstheme="majorBidi"/>
      <w:shd w:val="pct20" w:color="auto" w:fill="auto"/>
      <w:lang w:val="en-CA" w:eastAsia="en-US"/>
    </w:rPr>
  </w:style>
  <w:style w:type="paragraph" w:styleId="NormalIndent">
    <w:name w:val="Normal Indent"/>
    <w:basedOn w:val="Normal"/>
    <w:uiPriority w:val="99"/>
    <w:semiHidden/>
    <w:unhideWhenUsed/>
    <w:rsid w:val="00241BF6"/>
    <w:pPr>
      <w:ind w:left="720"/>
    </w:pPr>
  </w:style>
  <w:style w:type="paragraph" w:styleId="NoteHeading">
    <w:name w:val="Note Heading"/>
    <w:basedOn w:val="Normal"/>
    <w:next w:val="Normal"/>
    <w:link w:val="NoteHeadingChar"/>
    <w:uiPriority w:val="99"/>
    <w:semiHidden/>
    <w:unhideWhenUsed/>
    <w:rsid w:val="00241BF6"/>
    <w:pPr>
      <w:spacing w:line="240" w:lineRule="auto"/>
    </w:pPr>
  </w:style>
  <w:style w:type="character" w:customStyle="1" w:styleId="NoteHeadingChar">
    <w:name w:val="Note Heading Char"/>
    <w:basedOn w:val="DefaultParagraphFont"/>
    <w:link w:val="NoteHeading"/>
    <w:uiPriority w:val="99"/>
    <w:semiHidden/>
    <w:rsid w:val="00241BF6"/>
    <w:rPr>
      <w:rFonts w:eastAsia="Times New Roman" w:cs="Times New Roman"/>
      <w:lang w:val="en-CA" w:eastAsia="en-US"/>
    </w:rPr>
  </w:style>
  <w:style w:type="paragraph" w:styleId="PlainText">
    <w:name w:val="Plain Text"/>
    <w:basedOn w:val="Normal"/>
    <w:link w:val="PlainTextChar"/>
    <w:uiPriority w:val="99"/>
    <w:semiHidden/>
    <w:unhideWhenUsed/>
    <w:rsid w:val="00241BF6"/>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41BF6"/>
    <w:rPr>
      <w:rFonts w:ascii="Consolas" w:eastAsia="Times New Roman" w:hAnsi="Consolas" w:cs="Times New Roman"/>
      <w:sz w:val="21"/>
      <w:szCs w:val="21"/>
      <w:lang w:val="en-CA" w:eastAsia="en-US"/>
    </w:rPr>
  </w:style>
  <w:style w:type="paragraph" w:styleId="Salutation">
    <w:name w:val="Salutation"/>
    <w:basedOn w:val="Normal"/>
    <w:next w:val="Normal"/>
    <w:link w:val="SalutationChar"/>
    <w:uiPriority w:val="99"/>
    <w:semiHidden/>
    <w:unhideWhenUsed/>
    <w:rsid w:val="00241BF6"/>
  </w:style>
  <w:style w:type="character" w:customStyle="1" w:styleId="SalutationChar">
    <w:name w:val="Salutation Char"/>
    <w:basedOn w:val="DefaultParagraphFont"/>
    <w:link w:val="Salutation"/>
    <w:uiPriority w:val="99"/>
    <w:semiHidden/>
    <w:rsid w:val="00241BF6"/>
    <w:rPr>
      <w:rFonts w:eastAsia="Times New Roman" w:cs="Times New Roman"/>
      <w:lang w:val="en-CA" w:eastAsia="en-US"/>
    </w:rPr>
  </w:style>
  <w:style w:type="paragraph" w:styleId="Signature">
    <w:name w:val="Signature"/>
    <w:basedOn w:val="Normal"/>
    <w:link w:val="SignatureChar"/>
    <w:uiPriority w:val="99"/>
    <w:semiHidden/>
    <w:unhideWhenUsed/>
    <w:rsid w:val="00241BF6"/>
    <w:pPr>
      <w:spacing w:line="240" w:lineRule="auto"/>
      <w:ind w:left="4252"/>
    </w:pPr>
  </w:style>
  <w:style w:type="character" w:customStyle="1" w:styleId="SignatureChar">
    <w:name w:val="Signature Char"/>
    <w:basedOn w:val="DefaultParagraphFont"/>
    <w:link w:val="Signature"/>
    <w:uiPriority w:val="99"/>
    <w:semiHidden/>
    <w:rsid w:val="00241BF6"/>
    <w:rPr>
      <w:rFonts w:eastAsia="Times New Roman" w:cs="Times New Roman"/>
      <w:lang w:val="en-CA" w:eastAsia="en-US"/>
    </w:rPr>
  </w:style>
  <w:style w:type="paragraph" w:styleId="TableofAuthorities">
    <w:name w:val="table of authorities"/>
    <w:basedOn w:val="Normal"/>
    <w:next w:val="Normal"/>
    <w:uiPriority w:val="99"/>
    <w:semiHidden/>
    <w:unhideWhenUsed/>
    <w:rsid w:val="00241BF6"/>
    <w:pPr>
      <w:ind w:left="240" w:hanging="240"/>
    </w:pPr>
  </w:style>
  <w:style w:type="paragraph" w:styleId="TOAHeading">
    <w:name w:val="toa heading"/>
    <w:basedOn w:val="Normal"/>
    <w:next w:val="Normal"/>
    <w:uiPriority w:val="99"/>
    <w:semiHidden/>
    <w:unhideWhenUsed/>
    <w:rsid w:val="00241BF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241BF6"/>
    <w:pPr>
      <w:spacing w:after="100"/>
    </w:pPr>
  </w:style>
  <w:style w:type="paragraph" w:styleId="TOC5">
    <w:name w:val="toc 5"/>
    <w:basedOn w:val="Normal"/>
    <w:next w:val="Normal"/>
    <w:autoRedefine/>
    <w:uiPriority w:val="39"/>
    <w:semiHidden/>
    <w:unhideWhenUsed/>
    <w:rsid w:val="00241BF6"/>
    <w:pPr>
      <w:spacing w:after="100"/>
      <w:ind w:left="960"/>
    </w:pPr>
  </w:style>
  <w:style w:type="paragraph" w:styleId="TOC6">
    <w:name w:val="toc 6"/>
    <w:basedOn w:val="Normal"/>
    <w:next w:val="Normal"/>
    <w:autoRedefine/>
    <w:uiPriority w:val="39"/>
    <w:semiHidden/>
    <w:unhideWhenUsed/>
    <w:rsid w:val="00241BF6"/>
    <w:pPr>
      <w:spacing w:after="100"/>
      <w:ind w:left="1200"/>
    </w:pPr>
  </w:style>
  <w:style w:type="paragraph" w:styleId="TOC7">
    <w:name w:val="toc 7"/>
    <w:basedOn w:val="Normal"/>
    <w:next w:val="Normal"/>
    <w:autoRedefine/>
    <w:uiPriority w:val="39"/>
    <w:semiHidden/>
    <w:unhideWhenUsed/>
    <w:rsid w:val="00241BF6"/>
    <w:pPr>
      <w:spacing w:after="100"/>
      <w:ind w:left="1440"/>
    </w:pPr>
  </w:style>
  <w:style w:type="paragraph" w:styleId="TOC8">
    <w:name w:val="toc 8"/>
    <w:basedOn w:val="Normal"/>
    <w:next w:val="Normal"/>
    <w:autoRedefine/>
    <w:uiPriority w:val="39"/>
    <w:semiHidden/>
    <w:unhideWhenUsed/>
    <w:rsid w:val="00241BF6"/>
    <w:pPr>
      <w:spacing w:after="100"/>
      <w:ind w:left="1680"/>
    </w:pPr>
  </w:style>
  <w:style w:type="paragraph" w:styleId="TOC9">
    <w:name w:val="toc 9"/>
    <w:basedOn w:val="Normal"/>
    <w:next w:val="Normal"/>
    <w:autoRedefine/>
    <w:uiPriority w:val="39"/>
    <w:semiHidden/>
    <w:unhideWhenUsed/>
    <w:rsid w:val="00241BF6"/>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ber.org/papers/w10528" TargetMode="External"/><Relationship Id="rId21" Type="http://schemas.openxmlformats.org/officeDocument/2006/relationships/hyperlink" Target="https://eric.ed.gov/?id=ED618477" TargetMode="External"/><Relationship Id="rId63" Type="http://schemas.openxmlformats.org/officeDocument/2006/relationships/hyperlink" Target="https://doi.org/10.59962/9780774851695" TargetMode="External"/><Relationship Id="rId159" Type="http://schemas.openxmlformats.org/officeDocument/2006/relationships/hyperlink" Target="https://doi.org/10.5929/2019.1.14.2" TargetMode="External"/><Relationship Id="rId170" Type="http://schemas.openxmlformats.org/officeDocument/2006/relationships/hyperlink" Target="https://doi.org/10.1016/j.lisr.2015.02.002" TargetMode="External"/><Relationship Id="rId226" Type="http://schemas.openxmlformats.org/officeDocument/2006/relationships/hyperlink" Target="https://www.youtube.com/watch?v=xTWlRLG48eE" TargetMode="External"/><Relationship Id="rId268"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https://doi.org/10.1002/tl.20230" TargetMode="External"/><Relationship Id="rId53" Type="http://schemas.openxmlformats.org/officeDocument/2006/relationships/hyperlink" Target="https://doi.org/10.1515/9780822373520" TargetMode="External"/><Relationship Id="rId74" Type="http://schemas.openxmlformats.org/officeDocument/2006/relationships/hyperlink" Target="https://doi.org/10.1080/01587919.2022.2141607" TargetMode="External"/><Relationship Id="rId128" Type="http://schemas.openxmlformats.org/officeDocument/2006/relationships/hyperlink" Target="https://doi.org/10.1093/cs/cdae014" TargetMode="External"/><Relationship Id="rId149" Type="http://schemas.openxmlformats.org/officeDocument/2006/relationships/hyperlink" Target="https://doi.org/10.1007/s10734-024-01233-x" TargetMode="External"/><Relationship Id="rId5" Type="http://schemas.openxmlformats.org/officeDocument/2006/relationships/webSettings" Target="webSettings.xml"/><Relationship Id="rId95" Type="http://schemas.openxmlformats.org/officeDocument/2006/relationships/hyperlink" Target="https://doi.org/10.1145/1993060.1993065" TargetMode="External"/><Relationship Id="rId160" Type="http://schemas.openxmlformats.org/officeDocument/2006/relationships/hyperlink" Target="https://doi.org/10.1111/ldrp.12102" TargetMode="External"/><Relationship Id="rId181" Type="http://schemas.openxmlformats.org/officeDocument/2006/relationships/hyperlink" Target="https://doi.org/10.18061/dsq.v22i2.341" TargetMode="External"/><Relationship Id="rId216" Type="http://schemas.openxmlformats.org/officeDocument/2006/relationships/hyperlink" Target="https://doi.org/10.1080/09687590050058189" TargetMode="External"/><Relationship Id="rId237" Type="http://schemas.openxmlformats.org/officeDocument/2006/relationships/hyperlink" Target="https://doi.org/10.1007/978-1-4302-0188-5_16" TargetMode="External"/><Relationship Id="rId258" Type="http://schemas.openxmlformats.org/officeDocument/2006/relationships/hyperlink" Target="https://www.nngroup.com/articles/empathy-mapping/" TargetMode="External"/><Relationship Id="rId22" Type="http://schemas.openxmlformats.org/officeDocument/2006/relationships/hyperlink" Target="https://doi.org/10.1080/01419870701356015" TargetMode="External"/><Relationship Id="rId43" Type="http://schemas.openxmlformats.org/officeDocument/2006/relationships/hyperlink" Target="https://cusc-ccreu.ca/wordpress/?lang=en&amp;download=1084&amp;tmstv=1755301696" TargetMode="External"/><Relationship Id="rId64" Type="http://schemas.openxmlformats.org/officeDocument/2006/relationships/hyperlink" Target="https://doi.org/10.3998/mpub.9708722" TargetMode="External"/><Relationship Id="rId118" Type="http://schemas.openxmlformats.org/officeDocument/2006/relationships/hyperlink" Target="https://vancouver.citynews.ca/2025/08/27/kpu-langara-layoff-more-staff-number-i-students-drop/" TargetMode="External"/><Relationship Id="rId139" Type="http://schemas.openxmlformats.org/officeDocument/2006/relationships/hyperlink" Target="https://doi.org/10.3109/09638288.2014.938178" TargetMode="External"/><Relationship Id="rId85" Type="http://schemas.openxmlformats.org/officeDocument/2006/relationships/hyperlink" Target="https://www.bclaws.gov.bc.ca/civix/document/id/complete/statreg/21019" TargetMode="External"/><Relationship Id="rId150" Type="http://schemas.openxmlformats.org/officeDocument/2006/relationships/hyperlink" Target="https://doi.org/10.15353/cjds.v5i2.272" TargetMode="External"/><Relationship Id="rId171" Type="http://schemas.openxmlformats.org/officeDocument/2006/relationships/hyperlink" Target="https://doi.org/10.1002/leap.1197" TargetMode="External"/><Relationship Id="rId192" Type="http://schemas.openxmlformats.org/officeDocument/2006/relationships/hyperlink" Target="https://doi.org/10.1080/08856257.2021.1911525" TargetMode="External"/><Relationship Id="rId206" Type="http://schemas.openxmlformats.org/officeDocument/2006/relationships/hyperlink" Target="https://www.cnet.com/culture/internet-inventor-vint-cerf-accessibility-disability-deaf-hearing/" TargetMode="External"/><Relationship Id="rId227" Type="http://schemas.openxmlformats.org/officeDocument/2006/relationships/hyperlink" Target="https://doi.org/10.1002/tl.20339" TargetMode="External"/><Relationship Id="rId248" Type="http://schemas.openxmlformats.org/officeDocument/2006/relationships/hyperlink" Target="https://blog.adobe.com/en/publish/2023/05/17/making-pdfs-accessible-to-all" TargetMode="External"/><Relationship Id="rId269" Type="http://schemas.openxmlformats.org/officeDocument/2006/relationships/footer" Target="footer1.xml"/><Relationship Id="rId12" Type="http://schemas.openxmlformats.org/officeDocument/2006/relationships/hyperlink" Target="https://pressbooks.bccampus.ca/lostintranslation/" TargetMode="External"/><Relationship Id="rId33" Type="http://schemas.openxmlformats.org/officeDocument/2006/relationships/hyperlink" Target="https://doi.org/10.1093/eurpub/ckad162" TargetMode="External"/><Relationship Id="rId108" Type="http://schemas.openxmlformats.org/officeDocument/2006/relationships/hyperlink" Target="https://community-led.design/introduction/" TargetMode="External"/><Relationship Id="rId129" Type="http://schemas.openxmlformats.org/officeDocument/2006/relationships/hyperlink" Target="https://doi.org/10.36510/learnland.v11i2.945" TargetMode="External"/><Relationship Id="rId54" Type="http://schemas.openxmlformats.org/officeDocument/2006/relationships/hyperlink" Target="https://doi.org/10.3390/educsci13060611" TargetMode="External"/><Relationship Id="rId75" Type="http://schemas.openxmlformats.org/officeDocument/2006/relationships/hyperlink" Target="https://doi.org/10.2307/1228423" TargetMode="External"/><Relationship Id="rId96" Type="http://schemas.openxmlformats.org/officeDocument/2006/relationships/hyperlink" Target="https://doi.org/10.1177/15562646211023705" TargetMode="External"/><Relationship Id="rId140" Type="http://schemas.openxmlformats.org/officeDocument/2006/relationships/hyperlink" Target="https://doi.org/10.1177/01626434241262236" TargetMode="External"/><Relationship Id="rId161" Type="http://schemas.openxmlformats.org/officeDocument/2006/relationships/hyperlink" Target="https://doi.org/10.1080/1323238X.2009.11910861" TargetMode="External"/><Relationship Id="rId182" Type="http://schemas.openxmlformats.org/officeDocument/2006/relationships/hyperlink" Target="https://www150.statcan.gc.ca/n1/pub/89-654-x/89-654-x2025001-eng.htm" TargetMode="External"/><Relationship Id="rId217" Type="http://schemas.openxmlformats.org/officeDocument/2006/relationships/hyperlink" Target="https://tetralogical.com/blog/2025/10/07/guide-to-the-inclusive-design-principles/" TargetMode="External"/><Relationship Id="rId6" Type="http://schemas.openxmlformats.org/officeDocument/2006/relationships/footnotes" Target="footnotes.xml"/><Relationship Id="rId238" Type="http://schemas.openxmlformats.org/officeDocument/2006/relationships/hyperlink" Target="https://dune.une.edu/edu_diss/40" TargetMode="External"/><Relationship Id="rId259" Type="http://schemas.openxmlformats.org/officeDocument/2006/relationships/hyperlink" Target="https://cities.inclusivedesign.ca/resources/idrc-co-design-worksheets/Co-designing%20inclusive%20feedback%20mechanisms%20by%20user%20journey%20mapping.pdf" TargetMode="External"/><Relationship Id="rId23" Type="http://schemas.openxmlformats.org/officeDocument/2006/relationships/hyperlink" Target="https://doi.org/10.3390/audiolres15030046" TargetMode="External"/><Relationship Id="rId119" Type="http://schemas.openxmlformats.org/officeDocument/2006/relationships/hyperlink" Target="https://research.ebsco.com/linkprocessor/plink?id=f84e59f2-d228-3fbc-bc58-7d0e07362e5b" TargetMode="External"/><Relationship Id="rId270" Type="http://schemas.openxmlformats.org/officeDocument/2006/relationships/fontTable" Target="fontTable.xml"/><Relationship Id="rId44" Type="http://schemas.openxmlformats.org/officeDocument/2006/relationships/hyperlink" Target="https://cusc-ccreu.ca/wordpress/?lang=en&amp;download=3708&amp;tmstv=1755301750" TargetMode="External"/><Relationship Id="rId65" Type="http://schemas.openxmlformats.org/officeDocument/2006/relationships/hyperlink" Target="https://www.researchgate.net/publication/242479384_Action_Research_Exploring_Teaching_Practice" TargetMode="External"/><Relationship Id="rId86" Type="http://schemas.openxmlformats.org/officeDocument/2006/relationships/hyperlink" Target="https://laws-lois.justice.gc.ca/eng/acts/a-0.6/" TargetMode="External"/><Relationship Id="rId130" Type="http://schemas.openxmlformats.org/officeDocument/2006/relationships/hyperlink" Target="https://washingtonmonthly.com/2014/02/18/colleges-respond-to-growing-ranks-of-learning-disabled/" TargetMode="External"/><Relationship Id="rId151" Type="http://schemas.openxmlformats.org/officeDocument/2006/relationships/hyperlink" Target="http://www.behs.cchs.usyd.edu.au/arow/Reader/rmasters.htm" TargetMode="External"/><Relationship Id="rId172" Type="http://schemas.openxmlformats.org/officeDocument/2006/relationships/hyperlink" Target="https://eric.ed.gov/?id=EJ1383780" TargetMode="External"/><Relationship Id="rId193" Type="http://schemas.openxmlformats.org/officeDocument/2006/relationships/hyperlink" Target="https://doi.org/10.1016/j.iheduc.2011.05.004" TargetMode="External"/><Relationship Id="rId207" Type="http://schemas.openxmlformats.org/officeDocument/2006/relationships/hyperlink" Target="https://www150.statcan.gc.ca/t1/tbl1/en/tv.action?pid=1310089401" TargetMode="External"/><Relationship Id="rId228" Type="http://schemas.openxmlformats.org/officeDocument/2006/relationships/hyperlink" Target="https://unesdoc.unesco.org/ark:/48223/pf0000098427" TargetMode="External"/><Relationship Id="rId249" Type="http://schemas.openxmlformats.org/officeDocument/2006/relationships/hyperlink" Target="https://doi.org/10.1177/2329490618778329" TargetMode="External"/><Relationship Id="rId13" Type="http://schemas.openxmlformats.org/officeDocument/2006/relationships/hyperlink" Target="https://pressbooks.bccampus.ca/lostintranslation/" TargetMode="External"/><Relationship Id="rId109" Type="http://schemas.openxmlformats.org/officeDocument/2006/relationships/hyperlink" Target="https://community-led.design/design-process/" TargetMode="External"/><Relationship Id="rId260" Type="http://schemas.openxmlformats.org/officeDocument/2006/relationships/hyperlink" Target="https://untools.co/first-principles/" TargetMode="External"/><Relationship Id="rId34" Type="http://schemas.openxmlformats.org/officeDocument/2006/relationships/hyperlink" Target="https://doi.org/10.1145/2745555.2746665" TargetMode="External"/><Relationship Id="rId55" Type="http://schemas.openxmlformats.org/officeDocument/2006/relationships/hyperlink" Target="https://doi.org/10.7551/mitpress/12255.001.0001" TargetMode="External"/><Relationship Id="rId76" Type="http://schemas.openxmlformats.org/officeDocument/2006/relationships/hyperlink" Target="https://doi.org/10.1007/978-3-030-37125-8_2" TargetMode="External"/><Relationship Id="rId97" Type="http://schemas.openxmlformats.org/officeDocument/2006/relationships/hyperlink" Target="https://doi.org/10.1080/15710882.2015.1020316" TargetMode="External"/><Relationship Id="rId120" Type="http://schemas.openxmlformats.org/officeDocument/2006/relationships/hyperlink" Target="https://doi.org/10.61386/imj.v19i1.938" TargetMode="External"/><Relationship Id="rId141" Type="http://schemas.openxmlformats.org/officeDocument/2006/relationships/hyperlink" Target="https://www.oxo.com/blog/behind-the-scenes/behind-design-oxos-iconic-good-grips-handles" TargetMode="External"/><Relationship Id="rId7" Type="http://schemas.openxmlformats.org/officeDocument/2006/relationships/endnotes" Target="endnotes.xml"/><Relationship Id="rId162" Type="http://schemas.openxmlformats.org/officeDocument/2006/relationships/hyperlink" Target="https://doi.org/10.25158/L5.1.9" TargetMode="External"/><Relationship Id="rId183" Type="http://schemas.openxmlformats.org/officeDocument/2006/relationships/hyperlink" Target="https://doi.org/10.46743/2160-3715/2006.1666" TargetMode="External"/><Relationship Id="rId218" Type="http://schemas.openxmlformats.org/officeDocument/2006/relationships/hyperlink" Target="https://eur-lex.europa.eu/eli/dir/2016/2102/oj/eng" TargetMode="External"/><Relationship Id="rId239" Type="http://schemas.openxmlformats.org/officeDocument/2006/relationships/hyperlink" Target="https://doi.org/10.1145/3441852.3476545" TargetMode="External"/><Relationship Id="rId250" Type="http://schemas.openxmlformats.org/officeDocument/2006/relationships/hyperlink" Target="https://doi.org/10.1007/978-3-031-32257-0_47-1" TargetMode="External"/><Relationship Id="rId271" Type="http://schemas.openxmlformats.org/officeDocument/2006/relationships/theme" Target="theme/theme1.xml"/><Relationship Id="rId24" Type="http://schemas.openxmlformats.org/officeDocument/2006/relationships/hyperlink" Target="https://doi.org/10.3389/fpsyg.2023.1216692" TargetMode="External"/><Relationship Id="rId45" Type="http://schemas.openxmlformats.org/officeDocument/2006/relationships/hyperlink" Target="https://learning.oreilly.com/library/view/expanding-approaches-to/9781040088777/" TargetMode="External"/><Relationship Id="rId66" Type="http://schemas.openxmlformats.org/officeDocument/2006/relationships/hyperlink" Target="https://doi.org/10.1111/lasr.12437" TargetMode="External"/><Relationship Id="rId87" Type="http://schemas.openxmlformats.org/officeDocument/2006/relationships/hyperlink" Target="https://www.ontario.ca/laws/statute/05a11" TargetMode="External"/><Relationship Id="rId110" Type="http://schemas.openxmlformats.org/officeDocument/2006/relationships/hyperlink" Target="https://standards.inclusivedesign.ca/projects/all-standards/" TargetMode="External"/><Relationship Id="rId131" Type="http://schemas.openxmlformats.org/officeDocument/2006/relationships/hyperlink" Target="https://doi.org/10.48550/arXiv.2410.03022" TargetMode="External"/><Relationship Id="rId152" Type="http://schemas.openxmlformats.org/officeDocument/2006/relationships/hyperlink" Target="https://doi.org/10.1080/13562510902898809" TargetMode="External"/><Relationship Id="rId173" Type="http://schemas.openxmlformats.org/officeDocument/2006/relationships/hyperlink" Target="https://doi.org/10.1080/02674649266780141" TargetMode="External"/><Relationship Id="rId194" Type="http://schemas.openxmlformats.org/officeDocument/2006/relationships/hyperlink" Target="https://doi.org/10.3991/ijet.v17i07.29525" TargetMode="External"/><Relationship Id="rId208" Type="http://schemas.openxmlformats.org/officeDocument/2006/relationships/hyperlink" Target="https://www150.statcan.gc.ca/n1/daily-quotidien/231201/dq231201b-eng.htm" TargetMode="External"/><Relationship Id="rId229" Type="http://schemas.openxmlformats.org/officeDocument/2006/relationships/hyperlink" Target="https://disability-studies.leeds.ac.uk/wp-content/uploads/sites/40/library/UPIAS-UPIAS.pdf" TargetMode="External"/><Relationship Id="rId240" Type="http://schemas.openxmlformats.org/officeDocument/2006/relationships/hyperlink" Target="https://webaim.org/projects/million/2019" TargetMode="External"/><Relationship Id="rId261" Type="http://schemas.openxmlformats.org/officeDocument/2006/relationships/hyperlink" Target="https://untools.co/inversion/" TargetMode="External"/><Relationship Id="rId14" Type="http://schemas.openxmlformats.org/officeDocument/2006/relationships/image" Target="media/image2.png"/><Relationship Id="rId35" Type="http://schemas.openxmlformats.org/officeDocument/2006/relationships/hyperlink" Target="https://doi.org/10.1080/1034912X.2011.570494" TargetMode="External"/><Relationship Id="rId56" Type="http://schemas.openxmlformats.org/officeDocument/2006/relationships/hyperlink" Target="https://doi.org/10.1007/978-981-15-5584-8_35" TargetMode="External"/><Relationship Id="rId77" Type="http://schemas.openxmlformats.org/officeDocument/2006/relationships/hyperlink" Target="https://doi.org/10.11114/jets.v10i4.5594" TargetMode="External"/><Relationship Id="rId100" Type="http://schemas.openxmlformats.org/officeDocument/2006/relationships/hyperlink" Target="https://www.lancaster.ac.uk/fass/events/disabilityconference_archive/2008/papers/hosking2008.pdf" TargetMode="External"/><Relationship Id="rId8" Type="http://schemas.openxmlformats.org/officeDocument/2006/relationships/hyperlink" Target="https://creativecommons.org/licenses/by-nc-sa/4.0/" TargetMode="External"/><Relationship Id="rId98" Type="http://schemas.openxmlformats.org/officeDocument/2006/relationships/hyperlink" Target="https://www.theatlantic.com/magazine/2026/01/elite-university-student-accommodation/684946/" TargetMode="External"/><Relationship Id="rId121" Type="http://schemas.openxmlformats.org/officeDocument/2006/relationships/hyperlink" Target="https://doi.org/10.1145/960201.957218" TargetMode="External"/><Relationship Id="rId142" Type="http://schemas.openxmlformats.org/officeDocument/2006/relationships/hyperlink" Target="https://doi.org/10.1145/1562164.1562197" TargetMode="External"/><Relationship Id="rId163" Type="http://schemas.openxmlformats.org/officeDocument/2006/relationships/hyperlink" Target="https://eric.ed.gov/?id=EJ1105165" TargetMode="External"/><Relationship Id="rId184" Type="http://schemas.openxmlformats.org/officeDocument/2006/relationships/hyperlink" Target="https://doi.org/10.1177/09579265231156504" TargetMode="External"/><Relationship Id="rId219" Type="http://schemas.openxmlformats.org/officeDocument/2006/relationships/hyperlink" Target="http://data.europa.eu/eli/dir/2019/882/oj/eng" TargetMode="External"/><Relationship Id="rId230" Type="http://schemas.openxmlformats.org/officeDocument/2006/relationships/hyperlink" Target="https://disability-studies.leeds.ac.uk/wp-content/uploads/sites/40/library/UPIAS-fundamental-principles.pdf" TargetMode="External"/><Relationship Id="rId251" Type="http://schemas.openxmlformats.org/officeDocument/2006/relationships/hyperlink" Target="mailto:lmcknight@ocadu.ca" TargetMode="External"/><Relationship Id="rId25" Type="http://schemas.openxmlformats.org/officeDocument/2006/relationships/hyperlink" Target="https://nceo.info/references/_PEuqMBfTD6N3uzPgtsoVg" TargetMode="External"/><Relationship Id="rId46" Type="http://schemas.openxmlformats.org/officeDocument/2006/relationships/hyperlink" Target="https://doi.org/10.1186/s12889-018-5652-x" TargetMode="External"/><Relationship Id="rId67" Type="http://schemas.openxmlformats.org/officeDocument/2006/relationships/hyperlink" Target="https://www.theregreview.org/2020/12/07/dorfman-burke-thirty-years-fighting-over-ada/" TargetMode="External"/><Relationship Id="rId88" Type="http://schemas.openxmlformats.org/officeDocument/2006/relationships/hyperlink" Target="http://www.ontario.ca/page/review-information-and-communications-standards-2020-final-recommendations-report" TargetMode="External"/><Relationship Id="rId111" Type="http://schemas.openxmlformats.org/officeDocument/2006/relationships/hyperlink" Target="https://doi.org/10.15353/cjds.v9i3.645" TargetMode="External"/><Relationship Id="rId132" Type="http://schemas.openxmlformats.org/officeDocument/2006/relationships/hyperlink" Target="https://doi.org/10.1007/s10209-022-00931-6" TargetMode="External"/><Relationship Id="rId153" Type="http://schemas.openxmlformats.org/officeDocument/2006/relationships/hyperlink" Target="https://doi.org/10.1111/hequ.70001" TargetMode="External"/><Relationship Id="rId174" Type="http://schemas.openxmlformats.org/officeDocument/2006/relationships/hyperlink" Target="https://doi.org/10.1080/09687599.2013.818773" TargetMode="External"/><Relationship Id="rId195" Type="http://schemas.openxmlformats.org/officeDocument/2006/relationships/hyperlink" Target="https://doi.org/10.15353/cjds.v9i1.596" TargetMode="External"/><Relationship Id="rId209" Type="http://schemas.openxmlformats.org/officeDocument/2006/relationships/hyperlink" Target="https://www150.statcan.gc.ca/t1/tbl1/en/tv.action?pid=1310037401" TargetMode="External"/><Relationship Id="rId220" Type="http://schemas.openxmlformats.org/officeDocument/2006/relationships/hyperlink" Target="https://doi.org/10.1080/07294360.2023.2234314" TargetMode="External"/><Relationship Id="rId241" Type="http://schemas.openxmlformats.org/officeDocument/2006/relationships/hyperlink" Target="https://webaim.org/projects/million/" TargetMode="External"/><Relationship Id="rId15" Type="http://schemas.openxmlformats.org/officeDocument/2006/relationships/image" Target="media/image3.png"/><Relationship Id="rId36" Type="http://schemas.openxmlformats.org/officeDocument/2006/relationships/hyperlink" Target="https://doi.org/10.1191/1478088706qp063oa" TargetMode="External"/><Relationship Id="rId57" Type="http://schemas.openxmlformats.org/officeDocument/2006/relationships/hyperlink" Target="https://doi.org/10.1207/s15430421tip3903_2" TargetMode="External"/><Relationship Id="rId262" Type="http://schemas.openxmlformats.org/officeDocument/2006/relationships/hyperlink" Target="https://untools.co/ishikawa-diagram/" TargetMode="External"/><Relationship Id="rId78" Type="http://schemas.openxmlformats.org/officeDocument/2006/relationships/hyperlink" Target="https://web.archive.org/web/20241227125430/https:/www.theglobeandmail.com/canada/article-university-academic-accommodations-disabilities/" TargetMode="External"/><Relationship Id="rId99" Type="http://schemas.openxmlformats.org/officeDocument/2006/relationships/hyperlink" Target="https://www.chronicle.com/article/why-i-dread-the-accommodations-talk/" TargetMode="External"/><Relationship Id="rId101" Type="http://schemas.openxmlformats.org/officeDocument/2006/relationships/hyperlink" Target="https://eric.ed.gov/?id=EJ1171774" TargetMode="External"/><Relationship Id="rId122" Type="http://schemas.openxmlformats.org/officeDocument/2006/relationships/hyperlink" Target="https://doi.org/10.1145/1061811.1061820" TargetMode="External"/><Relationship Id="rId143" Type="http://schemas.openxmlformats.org/officeDocument/2006/relationships/hyperlink" Target="https://doi.org/10.1108/09593840410522198" TargetMode="External"/><Relationship Id="rId164" Type="http://schemas.openxmlformats.org/officeDocument/2006/relationships/hyperlink" Target="https://doi.org/10.5220/0006363100970108" TargetMode="External"/><Relationship Id="rId185" Type="http://schemas.openxmlformats.org/officeDocument/2006/relationships/hyperlink" Target="https://doi.org/10.1145/2207676.2207736" TargetMode="External"/><Relationship Id="rId9" Type="http://schemas.openxmlformats.org/officeDocument/2006/relationships/hyperlink" Target="https://pressbooks.bccampus.ca/lostintranslation/" TargetMode="External"/><Relationship Id="rId210" Type="http://schemas.openxmlformats.org/officeDocument/2006/relationships/hyperlink" Target="https://www150.statcan.gc.ca/t1/tbl1/en/tv.action?pid=1310089401" TargetMode="External"/><Relationship Id="rId26" Type="http://schemas.openxmlformats.org/officeDocument/2006/relationships/hyperlink" Target="https://doi.org/10.1016/j.dhjo.2022.101328" TargetMode="External"/><Relationship Id="rId231" Type="http://schemas.openxmlformats.org/officeDocument/2006/relationships/hyperlink" Target="https://www.ohchr.org/en/instruments-mechanisms/instruments/convention-rights-persons-disabilities" TargetMode="External"/><Relationship Id="rId252" Type="http://schemas.openxmlformats.org/officeDocument/2006/relationships/hyperlink" Target="mailto:michellemiller@ocadu.ca" TargetMode="External"/><Relationship Id="rId47" Type="http://schemas.openxmlformats.org/officeDocument/2006/relationships/hyperlink" Target="https://doi.org/10.1002/ss.394" TargetMode="External"/><Relationship Id="rId68" Type="http://schemas.openxmlformats.org/officeDocument/2006/relationships/hyperlink" Target="https://oro.open.ac.uk/12053/" TargetMode="External"/><Relationship Id="rId89" Type="http://schemas.openxmlformats.org/officeDocument/2006/relationships/hyperlink" Target="http://www.ontario.ca/page/development-proposed-postsecondary-education-standards-final-recommendations-report-2022" TargetMode="External"/><Relationship Id="rId112" Type="http://schemas.openxmlformats.org/officeDocument/2006/relationships/hyperlink" Target="https://access.commons.gc.cuny.edu/2017/09/14/uncanny-accommodations-in-higher-education/" TargetMode="External"/><Relationship Id="rId133" Type="http://schemas.openxmlformats.org/officeDocument/2006/relationships/hyperlink" Target="https://doi.org/10.1080/24735132.2023.2265239" TargetMode="External"/><Relationship Id="rId154" Type="http://schemas.openxmlformats.org/officeDocument/2006/relationships/hyperlink" Target="https://doi.org/10.1108/ILS-02-2023-0021" TargetMode="External"/><Relationship Id="rId175" Type="http://schemas.openxmlformats.org/officeDocument/2006/relationships/hyperlink" Target="https://doi.org/10.21071/hikma.v20i1.12886" TargetMode="External"/><Relationship Id="rId196" Type="http://schemas.openxmlformats.org/officeDocument/2006/relationships/hyperlink" Target="https://doi.org/10.1007/s10209-022-00875-x" TargetMode="External"/><Relationship Id="rId200" Type="http://schemas.openxmlformats.org/officeDocument/2006/relationships/hyperlink" Target="https://doi.org/10.1145/3517428.3544813" TargetMode="External"/><Relationship Id="rId16" Type="http://schemas.openxmlformats.org/officeDocument/2006/relationships/hyperlink" Target="https://pressbooks.bccampus.ca/lostintranslation/" TargetMode="External"/><Relationship Id="rId221" Type="http://schemas.openxmlformats.org/officeDocument/2006/relationships/hyperlink" Target="https://doi.org/10.1057/9781137023001_8" TargetMode="External"/><Relationship Id="rId242" Type="http://schemas.openxmlformats.org/officeDocument/2006/relationships/hyperlink" Target="https://doi.org/10.5210/fm.v16i11.3666" TargetMode="External"/><Relationship Id="rId263" Type="http://schemas.openxmlformats.org/officeDocument/2006/relationships/image" Target="media/image6.png"/><Relationship Id="rId37" Type="http://schemas.openxmlformats.org/officeDocument/2006/relationships/hyperlink" Target="https://www.jstor.org/stable/48791558" TargetMode="External"/><Relationship Id="rId58" Type="http://schemas.openxmlformats.org/officeDocument/2006/relationships/hyperlink" Target="https://doi.org/10.15694/mep.2021.000089.1" TargetMode="External"/><Relationship Id="rId79" Type="http://schemas.openxmlformats.org/officeDocument/2006/relationships/hyperlink" Target="https://doi.org/10.1007/978-3-030-22660-2_1" TargetMode="External"/><Relationship Id="rId102" Type="http://schemas.openxmlformats.org/officeDocument/2006/relationships/hyperlink" Target="https://doi.org/10.1007/s10209-025-01194-7" TargetMode="External"/><Relationship Id="rId123" Type="http://schemas.openxmlformats.org/officeDocument/2006/relationships/hyperlink" Target="https://olj.onlinelearningconsortium.org/index.php/olj/index" TargetMode="External"/><Relationship Id="rId144" Type="http://schemas.openxmlformats.org/officeDocument/2006/relationships/hyperlink" Target="https://doi.org/10.1080/01587919.2022.2141608" TargetMode="External"/><Relationship Id="rId90" Type="http://schemas.openxmlformats.org/officeDocument/2006/relationships/hyperlink" Target="https://www.nytimes.com/2023/09/20/opinion/culture/timed-tests-biased-kids.html" TargetMode="External"/><Relationship Id="rId165" Type="http://schemas.openxmlformats.org/officeDocument/2006/relationships/hyperlink" Target="https://doi.org/10.1080/24735132.2017.1386954" TargetMode="External"/><Relationship Id="rId186" Type="http://schemas.openxmlformats.org/officeDocument/2006/relationships/hyperlink" Target="https://www.smashingmagazine.com/2025/05/wcag-3-proposed-scoring-model-shift-accessibility-evaluation/" TargetMode="External"/><Relationship Id="rId211" Type="http://schemas.openxmlformats.org/officeDocument/2006/relationships/hyperlink" Target="https://www.nytimes.com/1997/08/25/opinion/extra-credit-for-doing-poorly.html" TargetMode="External"/><Relationship Id="rId232" Type="http://schemas.openxmlformats.org/officeDocument/2006/relationships/hyperlink" Target="https://www.w3.org/TR/WAI-WEBCONTENT/" TargetMode="External"/><Relationship Id="rId253" Type="http://schemas.openxmlformats.org/officeDocument/2006/relationships/hyperlink" Target="mailto:lmcknight@langara.ca" TargetMode="External"/><Relationship Id="rId27" Type="http://schemas.openxmlformats.org/officeDocument/2006/relationships/hyperlink" Target="https://www.candare.ca/2024/01/provocations-when-is-a-good-time/" TargetMode="External"/><Relationship Id="rId48" Type="http://schemas.openxmlformats.org/officeDocument/2006/relationships/hyperlink" Target="https://www.etsi.org/deliver/etsi_en/301500_301599/301549/01.01.02_60/en_301549v010102p.pdf" TargetMode="External"/><Relationship Id="rId69" Type="http://schemas.openxmlformats.org/officeDocument/2006/relationships/hyperlink" Target="https://doi.org/10.1037/a0038636" TargetMode="External"/><Relationship Id="rId113" Type="http://schemas.openxmlformats.org/officeDocument/2006/relationships/hyperlink" Target="https://www.vice.com/en/article/in-the-transhumanist-age-we-should-be-repairing-disabilities-not-sidewalks/" TargetMode="External"/><Relationship Id="rId134" Type="http://schemas.openxmlformats.org/officeDocument/2006/relationships/hyperlink" Target="https://almanac.httparchive.org/en/2025/accessibility" TargetMode="External"/><Relationship Id="rId80" Type="http://schemas.openxmlformats.org/officeDocument/2006/relationships/hyperlink" Target="https://doi.org/10.11648/j.edu.20200906.13" TargetMode="External"/><Relationship Id="rId155" Type="http://schemas.openxmlformats.org/officeDocument/2006/relationships/hyperlink" Target="https://heqco.ca/wp-content/uploads/2020/03/At-Issue-Disability-in-ON_ENG.pdf" TargetMode="External"/><Relationship Id="rId176" Type="http://schemas.openxmlformats.org/officeDocument/2006/relationships/hyperlink" Target="https://doi.org/10.1787/9789264097650-en" TargetMode="External"/><Relationship Id="rId197" Type="http://schemas.openxmlformats.org/officeDocument/2006/relationships/hyperlink" Target="https://doi.org/10.1177/0018720816640962" TargetMode="External"/><Relationship Id="rId201" Type="http://schemas.openxmlformats.org/officeDocument/2006/relationships/hyperlink" Target="https://doi.org/10.1080/09687599650023380" TargetMode="External"/><Relationship Id="rId222" Type="http://schemas.openxmlformats.org/officeDocument/2006/relationships/hyperlink" Target="https://doi.org/10.1177/1077800410383121" TargetMode="External"/><Relationship Id="rId243" Type="http://schemas.openxmlformats.org/officeDocument/2006/relationships/hyperlink" Target="https://doi.org/10.1080/15710882.2014.997744" TargetMode="External"/><Relationship Id="rId264" Type="http://schemas.openxmlformats.org/officeDocument/2006/relationships/image" Target="media/image7.png"/><Relationship Id="rId17" Type="http://schemas.openxmlformats.org/officeDocument/2006/relationships/hyperlink" Target="https://pressbooks.bccampus.ca/lostintranslation/" TargetMode="External"/><Relationship Id="rId38" Type="http://schemas.openxmlformats.org/officeDocument/2006/relationships/hyperlink" Target="https://doi.org/10.18061/dsq.v41i2.6973" TargetMode="External"/><Relationship Id="rId59" Type="http://schemas.openxmlformats.org/officeDocument/2006/relationships/hyperlink" Target="https://doi.org/10.1002/leap.1581" TargetMode="External"/><Relationship Id="rId103" Type="http://schemas.openxmlformats.org/officeDocument/2006/relationships/hyperlink" Target="https://doi.org/10.1007/s10209-024-01183-2" TargetMode="External"/><Relationship Id="rId124" Type="http://schemas.openxmlformats.org/officeDocument/2006/relationships/hyperlink" Target="https://www.nngroup.com/articles/inclusive-design/" TargetMode="External"/><Relationship Id="rId70" Type="http://schemas.openxmlformats.org/officeDocument/2006/relationships/hyperlink" Target="https://doi.org/10.1007/s10734-021-00800-w" TargetMode="External"/><Relationship Id="rId91" Type="http://schemas.openxmlformats.org/officeDocument/2006/relationships/hyperlink" Target="https://doi.org/10.1080/00050067.2023.2192863" TargetMode="External"/><Relationship Id="rId145" Type="http://schemas.openxmlformats.org/officeDocument/2006/relationships/hyperlink" Target="https://doi.org/10.1145/3757454" TargetMode="External"/><Relationship Id="rId166" Type="http://schemas.openxmlformats.org/officeDocument/2006/relationships/hyperlink" Target="https://www.ncbi.nlm.nih.gov/books/NBK513190/" TargetMode="External"/><Relationship Id="rId187" Type="http://schemas.openxmlformats.org/officeDocument/2006/relationships/hyperlink" Target="https://doi.org/10.7146/ejie.v4i1.150454" TargetMode="External"/><Relationship Id="rId1" Type="http://schemas.openxmlformats.org/officeDocument/2006/relationships/customXml" Target="../customXml/item1.xml"/><Relationship Id="rId212" Type="http://schemas.openxmlformats.org/officeDocument/2006/relationships/hyperlink" Target="https://blog.adobe.com/en/publish/2020/09/23/adobe-unveils-ambitious-multi-year-vision-for-pdf-introduces-liquid-mode" TargetMode="External"/><Relationship Id="rId233" Type="http://schemas.openxmlformats.org/officeDocument/2006/relationships/hyperlink" Target="https://www.w3.org/TR/WCAG20/" TargetMode="External"/><Relationship Id="rId254" Type="http://schemas.openxmlformats.org/officeDocument/2006/relationships/hyperlink" Target="mailto:research@ocadu.ca" TargetMode="External"/><Relationship Id="rId28" Type="http://schemas.openxmlformats.org/officeDocument/2006/relationships/hyperlink" Target="https://www.digitalaccessibility.report/" TargetMode="External"/><Relationship Id="rId49" Type="http://schemas.openxmlformats.org/officeDocument/2006/relationships/hyperlink" Target="https://cerovac.com/a11y/2024/05/wcag-after-quarter-of-a-century-we-still-need-more-awareness/" TargetMode="External"/><Relationship Id="rId114" Type="http://schemas.openxmlformats.org/officeDocument/2006/relationships/hyperlink" Target="https://doi.org/10.1177/13582291231174156" TargetMode="External"/><Relationship Id="rId60" Type="http://schemas.openxmlformats.org/officeDocument/2006/relationships/hyperlink" Target="https://doi.org/10.1007/s11423-020-09821-1" TargetMode="External"/><Relationship Id="rId81" Type="http://schemas.openxmlformats.org/officeDocument/2006/relationships/hyperlink" Target="https://doi.org/10.22329/celt.v6i0.3762" TargetMode="External"/><Relationship Id="rId135" Type="http://schemas.openxmlformats.org/officeDocument/2006/relationships/hyperlink" Target="https://doi.org/10.1007/s10209-003-0060-z" TargetMode="External"/><Relationship Id="rId156" Type="http://schemas.openxmlformats.org/officeDocument/2006/relationships/hyperlink" Target="https://doi.org/10.1080/87567555.2011.633287" TargetMode="External"/><Relationship Id="rId177" Type="http://schemas.openxmlformats.org/officeDocument/2006/relationships/hyperlink" Target="https://urn.kb.se/resolve?urn=urn:nbn:se:hj:diva-69061" TargetMode="External"/><Relationship Id="rId198" Type="http://schemas.openxmlformats.org/officeDocument/2006/relationships/hyperlink" Target="https://doi.org/10.1111/ejed.70104" TargetMode="External"/><Relationship Id="rId202" Type="http://schemas.openxmlformats.org/officeDocument/2006/relationships/hyperlink" Target="https://doi.org/10.1016/S1479-3547(01)80018-X" TargetMode="External"/><Relationship Id="rId223" Type="http://schemas.openxmlformats.org/officeDocument/2006/relationships/hyperlink" Target="https://eric.ed.gov/?id=eJ1236832" TargetMode="External"/><Relationship Id="rId244" Type="http://schemas.openxmlformats.org/officeDocument/2006/relationships/hyperlink" Target="https://iris.who.int/items/52433d37-0300-43d0-b7de-359f1486339f" TargetMode="External"/><Relationship Id="rId18" Type="http://schemas.openxmlformats.org/officeDocument/2006/relationships/hyperlink" Target="https://pressbooks.bccampus.ca/accessibilityhandbook/chapter/the-people-v-pdf/" TargetMode="External"/><Relationship Id="rId39" Type="http://schemas.openxmlformats.org/officeDocument/2006/relationships/hyperlink" Target="https://www.nber.org/programs-projects/projects-and-centers/retirement-and-disability-research-center/center-papers/drc-nb16-07" TargetMode="External"/><Relationship Id="rId265" Type="http://schemas.openxmlformats.org/officeDocument/2006/relationships/hyperlink" Target="https://guide.inclusivedesign.ca/activities/virtuous-tornado/" TargetMode="External"/><Relationship Id="rId50" Type="http://schemas.openxmlformats.org/officeDocument/2006/relationships/hyperlink" Target="https://doi.org/10.1525/california/9780520207950.001.0001" TargetMode="External"/><Relationship Id="rId104" Type="http://schemas.openxmlformats.org/officeDocument/2006/relationships/hyperlink" Target="https://doi.org/10.18061/dsq.v42i3-4.7947" TargetMode="External"/><Relationship Id="rId125" Type="http://schemas.openxmlformats.org/officeDocument/2006/relationships/hyperlink" Target="https://espace.curtin.edu.au/bitstream/handle/20.500" TargetMode="External"/><Relationship Id="rId146" Type="http://schemas.openxmlformats.org/officeDocument/2006/relationships/hyperlink" Target="https://doi.org/10.3233/JVR-201084" TargetMode="External"/><Relationship Id="rId167" Type="http://schemas.openxmlformats.org/officeDocument/2006/relationships/hyperlink" Target="https://www.nih.gov/nih-style-guide/person-first-destigmatizing-language" TargetMode="External"/><Relationship Id="rId188" Type="http://schemas.openxmlformats.org/officeDocument/2006/relationships/hyperlink" Target="https://www150.statcan.gc.ca/n1/pub/12-001-x/2017002/article/54888-eng.htm" TargetMode="External"/><Relationship Id="rId71" Type="http://schemas.openxmlformats.org/officeDocument/2006/relationships/hyperlink" Target="https://doi.org/10.1371/journal.pone.0328552" TargetMode="External"/><Relationship Id="rId92" Type="http://schemas.openxmlformats.org/officeDocument/2006/relationships/hyperlink" Target="https://doi.org/10.1016/j.socscimed.2024.117444" TargetMode="External"/><Relationship Id="rId213" Type="http://schemas.openxmlformats.org/officeDocument/2006/relationships/hyperlink" Target="https://eric.ed.gov/?id=EJ1388367" TargetMode="External"/><Relationship Id="rId234" Type="http://schemas.openxmlformats.org/officeDocument/2006/relationships/hyperlink" Target="https://www.w3.org/TR/WCAG22/" TargetMode="External"/><Relationship Id="rId2" Type="http://schemas.openxmlformats.org/officeDocument/2006/relationships/numbering" Target="numbering.xml"/><Relationship Id="rId29" Type="http://schemas.openxmlformats.org/officeDocument/2006/relationships/hyperlink" Target="https://pedagogischestudien.nl/article/view/13714" TargetMode="External"/><Relationship Id="rId255" Type="http://schemas.openxmlformats.org/officeDocument/2006/relationships/image" Target="media/image4.png"/><Relationship Id="rId40" Type="http://schemas.openxmlformats.org/officeDocument/2006/relationships/hyperlink" Target="https://publications.gc.ca/site/eng/9.831250/publication.html" TargetMode="External"/><Relationship Id="rId115" Type="http://schemas.openxmlformats.org/officeDocument/2006/relationships/hyperlink" Target="https://doi.org/10.1037/rep0000631" TargetMode="External"/><Relationship Id="rId136" Type="http://schemas.openxmlformats.org/officeDocument/2006/relationships/hyperlink" Target="https://doi.org/10.1177/00332941231156821" TargetMode="External"/><Relationship Id="rId157" Type="http://schemas.openxmlformats.org/officeDocument/2006/relationships/hyperlink" Target="https://www.jstor.org/stable/3195676" TargetMode="External"/><Relationship Id="rId178" Type="http://schemas.openxmlformats.org/officeDocument/2006/relationships/hyperlink" Target="https://doi.org/10.47678/cjhe.vi0.188985" TargetMode="External"/><Relationship Id="rId61" Type="http://schemas.openxmlformats.org/officeDocument/2006/relationships/hyperlink" Target="https://doi.org/10.1007/s10803-023-06192-3" TargetMode="External"/><Relationship Id="rId82" Type="http://schemas.openxmlformats.org/officeDocument/2006/relationships/hyperlink" Target="https://modelviewculture.com/pieces/ableism-and-the-academy-what-college-has-taught-me-about-my-disabled-body" TargetMode="External"/><Relationship Id="rId199" Type="http://schemas.openxmlformats.org/officeDocument/2006/relationships/hyperlink" Target="http://www.senat.gov.pl/gfx/senat/userfiles/_public/k11eng/noty/04/24_04_24_en.pdf" TargetMode="External"/><Relationship Id="rId203" Type="http://schemas.openxmlformats.org/officeDocument/2006/relationships/hyperlink" Target="https://doi.org/10.1080/09362835.2020.1727339" TargetMode="External"/><Relationship Id="rId19" Type="http://schemas.openxmlformats.org/officeDocument/2006/relationships/hyperlink" Target="https://www.csmonitor.com/1999/1209/p10s2.html" TargetMode="External"/><Relationship Id="rId224" Type="http://schemas.openxmlformats.org/officeDocument/2006/relationships/hyperlink" Target="https://eric.ed.gov/?id=EJ866923" TargetMode="External"/><Relationship Id="rId245" Type="http://schemas.openxmlformats.org/officeDocument/2006/relationships/hyperlink" Target="https://www.who.int/publications/i/item/9789241564182" TargetMode="External"/><Relationship Id="rId266" Type="http://schemas.openxmlformats.org/officeDocument/2006/relationships/hyperlink" Target="https://ocaduniversity-my.sharepoint.com/:wb:/g/personal/lmcknight_ocadu_ca/EZioqW5OhNRMlVn6ZnjC0qIBuM1AFStSBwcBNAmRnxenNA?e=WEojgA" TargetMode="External"/><Relationship Id="rId30" Type="http://schemas.openxmlformats.org/officeDocument/2006/relationships/hyperlink" Target="https://doi.org/10.3390/educsci10090223" TargetMode="External"/><Relationship Id="rId105" Type="http://schemas.openxmlformats.org/officeDocument/2006/relationships/hyperlink" Target="https://guide.inclusivedesign.ca/insights/diverse-participation-and-perspectives/" TargetMode="External"/><Relationship Id="rId126" Type="http://schemas.openxmlformats.org/officeDocument/2006/relationships/hyperlink" Target="https://doi.org/10.1080/1034912X.2012.654952" TargetMode="External"/><Relationship Id="rId147" Type="http://schemas.openxmlformats.org/officeDocument/2006/relationships/hyperlink" Target="https://doi.org/10.12688/routledgeopenres.17581.1" TargetMode="External"/><Relationship Id="rId168" Type="http://schemas.openxmlformats.org/officeDocument/2006/relationships/hyperlink" Target="https://doi.org/10.1177/2165143413518235" TargetMode="External"/><Relationship Id="rId51" Type="http://schemas.openxmlformats.org/officeDocument/2006/relationships/hyperlink" Target="https://doi.org/10.1080/19322909.2022.2062521" TargetMode="External"/><Relationship Id="rId72" Type="http://schemas.openxmlformats.org/officeDocument/2006/relationships/hyperlink" Target="https://doi.org/10.1080/13691180903456546" TargetMode="External"/><Relationship Id="rId93" Type="http://schemas.openxmlformats.org/officeDocument/2006/relationships/hyperlink" Target="https://www.mcclatchydc.com/news/article24460762.html" TargetMode="External"/><Relationship Id="rId189" Type="http://schemas.openxmlformats.org/officeDocument/2006/relationships/hyperlink" Target="https://doi.org/10.1177/001872677002300601" TargetMode="External"/><Relationship Id="rId3" Type="http://schemas.openxmlformats.org/officeDocument/2006/relationships/styles" Target="styles.xml"/><Relationship Id="rId214" Type="http://schemas.openxmlformats.org/officeDocument/2006/relationships/hyperlink" Target="https://doi.org/10.1080/09650792.2025.2531174" TargetMode="External"/><Relationship Id="rId235" Type="http://schemas.openxmlformats.org/officeDocument/2006/relationships/hyperlink" Target="https://www.w3.org/TR/wcag-3.0-explainer/" TargetMode="External"/><Relationship Id="rId256" Type="http://schemas.openxmlformats.org/officeDocument/2006/relationships/image" Target="media/image5.png"/><Relationship Id="rId116" Type="http://schemas.openxmlformats.org/officeDocument/2006/relationships/hyperlink" Target="https://doi.org/10.18061/dsq.v42i3-4.7981" TargetMode="External"/><Relationship Id="rId137" Type="http://schemas.openxmlformats.org/officeDocument/2006/relationships/hyperlink" Target="https://er.educause.edu/articles/2007/7/accessibility-of-instructional-web-sites-in-higher-education" TargetMode="External"/><Relationship Id="rId158" Type="http://schemas.openxmlformats.org/officeDocument/2006/relationships/hyperlink" Target="https://www150.statcan.gc.ca/n1/pub/89-654-x/89-654-x2023003-eng.htm" TargetMode="External"/><Relationship Id="rId20" Type="http://schemas.openxmlformats.org/officeDocument/2006/relationships/hyperlink" Target="https://www.aodaalliance.org/whats-new/news-release-grassroots-disability-coalitions-new-report-reveals-five-consecutive-years-of-rampant-violations-of-ontarios-disabilities-act-known-to-the-wynne-government-and-ineffective-provinci/" TargetMode="External"/><Relationship Id="rId41" Type="http://schemas.openxmlformats.org/officeDocument/2006/relationships/hyperlink" Target="https://cusc-ccreu.ca/wordpress/?lang=en&amp;download=151&amp;tmstv=1774849879" TargetMode="External"/><Relationship Id="rId62" Type="http://schemas.openxmlformats.org/officeDocument/2006/relationships/hyperlink" Target="https://doi.org/10.1080/13645579.2024.2357558" TargetMode="External"/><Relationship Id="rId83" Type="http://schemas.openxmlformats.org/officeDocument/2006/relationships/hyperlink" Target="https://doi.org/10.1017/heq.2024.16" TargetMode="External"/><Relationship Id="rId179" Type="http://schemas.openxmlformats.org/officeDocument/2006/relationships/hyperlink" Target="https://doi.org/10.1007/978-3-031-62846-7_5" TargetMode="External"/><Relationship Id="rId190" Type="http://schemas.openxmlformats.org/officeDocument/2006/relationships/hyperlink" Target="https://doi.org/10.47408/jldhe.vi32.1463" TargetMode="External"/><Relationship Id="rId204" Type="http://schemas.openxmlformats.org/officeDocument/2006/relationships/hyperlink" Target="https://infed.org/mobi/action-research/" TargetMode="External"/><Relationship Id="rId225" Type="http://schemas.openxmlformats.org/officeDocument/2006/relationships/hyperlink" Target="https://medium.com/@jutta.trevira/too-candid-im-sorry-but-not-really-sorry-6255cfd5d730" TargetMode="External"/><Relationship Id="rId246" Type="http://schemas.openxmlformats.org/officeDocument/2006/relationships/hyperlink" Target="https://www.who.int/publications/i/item/9789240063600" TargetMode="External"/><Relationship Id="rId267" Type="http://schemas.openxmlformats.org/officeDocument/2006/relationships/image" Target="media/image8.emf"/><Relationship Id="rId106" Type="http://schemas.openxmlformats.org/officeDocument/2006/relationships/hyperlink" Target="https://legacy.idrc.ocadu.ca/about-the-idrc/49-resources/online-resources/articles-and-papers/443-whatisinclusivedesign" TargetMode="External"/><Relationship Id="rId127" Type="http://schemas.openxmlformats.org/officeDocument/2006/relationships/hyperlink" Target="https://doi.org/10.1111/1468-4446.12969" TargetMode="External"/><Relationship Id="rId10" Type="http://schemas.openxmlformats.org/officeDocument/2006/relationships/hyperlink" Target="https://pressbooks.bccampus.ca/lostintranslation/" TargetMode="External"/><Relationship Id="rId31" Type="http://schemas.openxmlformats.org/officeDocument/2006/relationships/hyperlink" Target="https://doi.org/10.1371/journal.pone.0322728" TargetMode="External"/><Relationship Id="rId52" Type="http://schemas.openxmlformats.org/officeDocument/2006/relationships/hyperlink" Target="https://doi.org/10.3109/13668250.2020.1795820" TargetMode="External"/><Relationship Id="rId73" Type="http://schemas.openxmlformats.org/officeDocument/2006/relationships/hyperlink" Target="https://www.routledge.com/Digital-Accessibility-Ethics-Disability-Inclusion-in-All-Things-Tech/Feingold-Gilbert-Fleet/p/book/9781041018681" TargetMode="External"/><Relationship Id="rId94" Type="http://schemas.openxmlformats.org/officeDocument/2006/relationships/hyperlink" Target="https://doi.org/10.24059/olj.v25i2.2233" TargetMode="External"/><Relationship Id="rId148" Type="http://schemas.openxmlformats.org/officeDocument/2006/relationships/hyperlink" Target="https://doi.org/10.1108/DL-12-2021-0001" TargetMode="External"/><Relationship Id="rId169" Type="http://schemas.openxmlformats.org/officeDocument/2006/relationships/hyperlink" Target="https://doi.org/10.1080/02602938.2023.2259632" TargetMode="External"/><Relationship Id="rId4" Type="http://schemas.openxmlformats.org/officeDocument/2006/relationships/settings" Target="settings.xml"/><Relationship Id="rId180" Type="http://schemas.openxmlformats.org/officeDocument/2006/relationships/hyperlink" Target="https://doi.org/10.1145/3439231.3440614" TargetMode="External"/><Relationship Id="rId215" Type="http://schemas.openxmlformats.org/officeDocument/2006/relationships/hyperlink" Target="https://doi.org/10.1145/355460.355549" TargetMode="External"/><Relationship Id="rId236" Type="http://schemas.openxmlformats.org/officeDocument/2006/relationships/hyperlink" Target="https://www.w3.org/WAI/policies/" TargetMode="External"/><Relationship Id="rId257" Type="http://schemas.openxmlformats.org/officeDocument/2006/relationships/hyperlink" Target="mailto:lmcknight@OCADU.ca" TargetMode="External"/><Relationship Id="rId42" Type="http://schemas.openxmlformats.org/officeDocument/2006/relationships/hyperlink" Target="https://cusc-ccreu.ca/wordpress/?lang=en&amp;download=376&amp;tmstv=1774849878" TargetMode="External"/><Relationship Id="rId84" Type="http://schemas.openxmlformats.org/officeDocument/2006/relationships/hyperlink" Target="https://almanac.httparchive.org/en/2024/accessibility" TargetMode="External"/><Relationship Id="rId138" Type="http://schemas.openxmlformats.org/officeDocument/2006/relationships/hyperlink" Target="https://thewalrus.ca/accommodations/" TargetMode="External"/><Relationship Id="rId191" Type="http://schemas.openxmlformats.org/officeDocument/2006/relationships/hyperlink" Target="https://www.congress.gov/bill/93rd-congress/house-bill/8070" TargetMode="External"/><Relationship Id="rId205" Type="http://schemas.openxmlformats.org/officeDocument/2006/relationships/hyperlink" Target="https://doi.org/10.7208/chicago/9780226767307.001.0001" TargetMode="External"/><Relationship Id="rId247" Type="http://schemas.openxmlformats.org/officeDocument/2006/relationships/hyperlink" Target="https://doi.org/10.1108/EDI-06-2020-0173" TargetMode="External"/><Relationship Id="rId107" Type="http://schemas.openxmlformats.org/officeDocument/2006/relationships/hyperlink" Target="https://idrc.ocadu.ca/about/philoso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9B819-337C-478E-B8AA-7813204DE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195</Pages>
  <Words>50151</Words>
  <Characters>297901</Characters>
  <Application>Microsoft Office Word</Application>
  <DocSecurity>0</DocSecurity>
  <Lines>4965</Lines>
  <Paragraphs>1386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346666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Lost in Translation:   Inclusive Design Approaches to Implement Digital Accessibility Initiatives  </dc:title>
  <dc:subject/>
  <dc:creator>Luke McKnight</dc:creator>
  <cp:keywords/>
  <dc:description/>
  <cp:lastModifiedBy>Luke McKnight</cp:lastModifiedBy>
  <cp:revision>82</cp:revision>
  <cp:lastPrinted>2026-05-05T22:14:00Z</cp:lastPrinted>
  <dcterms:created xsi:type="dcterms:W3CDTF">2026-05-02T19:47:00Z</dcterms:created>
  <dcterms:modified xsi:type="dcterms:W3CDTF">2026-05-05T22:16:00Z</dcterms:modified>
  <cp:category/>
</cp:coreProperties>
</file>